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43" w:rsidRPr="003D34E2" w:rsidRDefault="00B301E4" w:rsidP="00703C2E">
      <w:pPr>
        <w:ind w:left="720"/>
        <w:rPr>
          <w:b/>
          <w:sz w:val="28"/>
          <w:szCs w:val="28"/>
        </w:rPr>
      </w:pPr>
      <w:bookmarkStart w:id="0" w:name="_GoBack"/>
      <w:bookmarkEnd w:id="0"/>
      <w:r w:rsidRPr="003D34E2">
        <w:rPr>
          <w:b/>
          <w:sz w:val="28"/>
          <w:szCs w:val="28"/>
          <w:lang w:val="en-US"/>
        </w:rPr>
        <w:t>Informazioni</w:t>
      </w:r>
      <w:r w:rsidR="0063140D">
        <w:rPr>
          <w:b/>
          <w:sz w:val="28"/>
          <w:szCs w:val="28"/>
          <w:lang w:val="en-US"/>
        </w:rPr>
        <w:t xml:space="preserve"> </w:t>
      </w:r>
      <w:r w:rsidRPr="003D34E2">
        <w:rPr>
          <w:b/>
          <w:sz w:val="28"/>
          <w:szCs w:val="28"/>
          <w:lang w:val="en-US"/>
        </w:rPr>
        <w:t>Corso</w:t>
      </w:r>
    </w:p>
    <w:p w:rsidR="00B301E4" w:rsidRPr="003D34E2" w:rsidRDefault="00B301E4" w:rsidP="00B301E4">
      <w:pPr>
        <w:ind w:left="720"/>
        <w:rPr>
          <w:sz w:val="28"/>
          <w:szCs w:val="28"/>
        </w:rPr>
      </w:pPr>
      <w:r w:rsidRPr="00160594">
        <w:rPr>
          <w:sz w:val="28"/>
          <w:szCs w:val="28"/>
        </w:rPr>
        <w:t>Corso</w:t>
      </w:r>
      <w:r w:rsidR="00C352B4">
        <w:rPr>
          <w:sz w:val="28"/>
          <w:szCs w:val="28"/>
        </w:rPr>
        <w:t xml:space="preserve"> </w:t>
      </w:r>
      <w:r w:rsidRPr="00160594">
        <w:rPr>
          <w:sz w:val="28"/>
          <w:szCs w:val="28"/>
        </w:rPr>
        <w:t>integrato</w:t>
      </w:r>
      <w:r w:rsidR="00C352B4">
        <w:rPr>
          <w:sz w:val="28"/>
          <w:szCs w:val="28"/>
        </w:rPr>
        <w:t xml:space="preserve"> di Genetica e Diagnostica molecolare, modulo di Genetica Medica,  1</w:t>
      </w:r>
      <w:r w:rsidR="00BB4855">
        <w:rPr>
          <w:sz w:val="28"/>
          <w:szCs w:val="28"/>
        </w:rPr>
        <w:t>cfu, I anno, II semestre A</w:t>
      </w:r>
      <w:r w:rsidR="003466E3" w:rsidRPr="00160594">
        <w:rPr>
          <w:sz w:val="28"/>
          <w:szCs w:val="28"/>
        </w:rPr>
        <w:t>nno</w:t>
      </w:r>
      <w:r w:rsidR="00BB4855">
        <w:rPr>
          <w:sz w:val="28"/>
          <w:szCs w:val="28"/>
        </w:rPr>
        <w:t xml:space="preserve"> A</w:t>
      </w:r>
      <w:r w:rsidR="003466E3" w:rsidRPr="00160594">
        <w:rPr>
          <w:sz w:val="28"/>
          <w:szCs w:val="28"/>
        </w:rPr>
        <w:t>ccademico</w:t>
      </w:r>
      <w:r w:rsidR="00BB4855">
        <w:rPr>
          <w:sz w:val="28"/>
          <w:szCs w:val="28"/>
        </w:rPr>
        <w:t xml:space="preserve"> 2018/19</w:t>
      </w:r>
    </w:p>
    <w:p w:rsidR="00BD6443" w:rsidRPr="003D34E2" w:rsidRDefault="00BD6443" w:rsidP="00BD6443">
      <w:pPr>
        <w:rPr>
          <w:sz w:val="28"/>
          <w:szCs w:val="28"/>
        </w:rPr>
      </w:pPr>
    </w:p>
    <w:p w:rsidR="00BD6443" w:rsidRPr="003D34E2" w:rsidRDefault="00B301E4" w:rsidP="00703C2E">
      <w:pPr>
        <w:ind w:left="720"/>
        <w:rPr>
          <w:b/>
          <w:sz w:val="28"/>
          <w:szCs w:val="28"/>
        </w:rPr>
      </w:pPr>
      <w:r w:rsidRPr="003D34E2">
        <w:rPr>
          <w:b/>
          <w:sz w:val="28"/>
          <w:szCs w:val="28"/>
          <w:lang w:val="en-US"/>
        </w:rPr>
        <w:t>InformazioniDocente</w:t>
      </w:r>
    </w:p>
    <w:p w:rsidR="00C352B4" w:rsidRPr="00C352B4" w:rsidRDefault="00C352B4" w:rsidP="00C352B4">
      <w:pPr>
        <w:ind w:left="720"/>
        <w:rPr>
          <w:sz w:val="28"/>
          <w:szCs w:val="28"/>
        </w:rPr>
      </w:pPr>
      <w:r w:rsidRPr="00C352B4">
        <w:rPr>
          <w:sz w:val="28"/>
          <w:szCs w:val="28"/>
        </w:rPr>
        <w:t xml:space="preserve">Docente: Prof. Rodolfo Iuliano – tel. 0961 3695182 - </w:t>
      </w:r>
    </w:p>
    <w:p w:rsidR="00C352B4" w:rsidRPr="00C352B4" w:rsidRDefault="00C352B4" w:rsidP="00C352B4">
      <w:pPr>
        <w:ind w:left="720"/>
        <w:rPr>
          <w:sz w:val="28"/>
          <w:szCs w:val="28"/>
        </w:rPr>
      </w:pPr>
      <w:r w:rsidRPr="00C352B4">
        <w:rPr>
          <w:sz w:val="28"/>
          <w:szCs w:val="28"/>
        </w:rPr>
        <w:t xml:space="preserve">e-mail: iuliano@unicz.it </w:t>
      </w:r>
    </w:p>
    <w:p w:rsidR="00BA1D01" w:rsidRDefault="00C352B4" w:rsidP="00C352B4">
      <w:pPr>
        <w:ind w:left="720"/>
        <w:rPr>
          <w:sz w:val="28"/>
          <w:szCs w:val="28"/>
        </w:rPr>
      </w:pPr>
      <w:r w:rsidRPr="00C352B4">
        <w:rPr>
          <w:sz w:val="28"/>
          <w:szCs w:val="28"/>
        </w:rPr>
        <w:t>Ricevimento: Lunedì ore 15.00-18.00 (Livello 8 - Edificio delle Bioscienze)</w:t>
      </w:r>
    </w:p>
    <w:p w:rsidR="00C352B4" w:rsidRPr="003D34E2" w:rsidRDefault="00C352B4" w:rsidP="00C352B4">
      <w:pPr>
        <w:ind w:left="720"/>
        <w:rPr>
          <w:sz w:val="28"/>
          <w:szCs w:val="28"/>
        </w:rPr>
      </w:pPr>
    </w:p>
    <w:p w:rsidR="00BD6443" w:rsidRPr="003D34E2" w:rsidRDefault="00B301E4" w:rsidP="00703C2E">
      <w:pPr>
        <w:ind w:left="720"/>
        <w:rPr>
          <w:b/>
          <w:sz w:val="28"/>
          <w:szCs w:val="28"/>
        </w:rPr>
      </w:pPr>
      <w:r w:rsidRPr="003D34E2">
        <w:rPr>
          <w:b/>
          <w:sz w:val="28"/>
          <w:szCs w:val="28"/>
          <w:lang w:val="en-US"/>
        </w:rPr>
        <w:t>Descrizione del Corso</w:t>
      </w:r>
    </w:p>
    <w:p w:rsidR="00BA1D01" w:rsidRDefault="00C352B4" w:rsidP="00B301E4">
      <w:pPr>
        <w:ind w:left="708"/>
        <w:rPr>
          <w:sz w:val="28"/>
          <w:szCs w:val="28"/>
        </w:rPr>
      </w:pPr>
      <w:r>
        <w:rPr>
          <w:sz w:val="28"/>
          <w:szCs w:val="28"/>
        </w:rPr>
        <w:t>Apprendere i principi alla base del riconoscimento e classificazione delle varianti geniche associate a malattie genetiche</w:t>
      </w:r>
    </w:p>
    <w:p w:rsidR="00C352B4" w:rsidRPr="003D34E2" w:rsidRDefault="00C352B4" w:rsidP="00B301E4">
      <w:pPr>
        <w:ind w:left="708"/>
        <w:rPr>
          <w:b/>
          <w:color w:val="000000" w:themeColor="text1"/>
          <w:sz w:val="28"/>
          <w:szCs w:val="28"/>
        </w:rPr>
      </w:pPr>
    </w:p>
    <w:p w:rsidR="00B301E4" w:rsidRPr="003D34E2" w:rsidRDefault="00B301E4" w:rsidP="00B301E4">
      <w:pPr>
        <w:ind w:left="708"/>
        <w:rPr>
          <w:b/>
          <w:color w:val="000000" w:themeColor="text1"/>
          <w:sz w:val="28"/>
          <w:szCs w:val="28"/>
        </w:rPr>
      </w:pPr>
      <w:r w:rsidRPr="003D34E2">
        <w:rPr>
          <w:b/>
          <w:color w:val="000000" w:themeColor="text1"/>
          <w:sz w:val="28"/>
          <w:szCs w:val="28"/>
        </w:rPr>
        <w:t xml:space="preserve">Obiettivi del Corso </w:t>
      </w:r>
      <w:r w:rsidR="00BA1D01" w:rsidRPr="003D34E2">
        <w:rPr>
          <w:b/>
          <w:color w:val="000000" w:themeColor="text1"/>
          <w:sz w:val="28"/>
          <w:szCs w:val="28"/>
        </w:rPr>
        <w:t>e Risultati di apprendimento attesi</w:t>
      </w:r>
    </w:p>
    <w:p w:rsidR="00C352B4" w:rsidRDefault="00C352B4" w:rsidP="00B301E4">
      <w:pPr>
        <w:ind w:left="708"/>
        <w:rPr>
          <w:sz w:val="28"/>
          <w:szCs w:val="28"/>
        </w:rPr>
      </w:pPr>
      <w:r>
        <w:rPr>
          <w:sz w:val="28"/>
          <w:szCs w:val="28"/>
        </w:rPr>
        <w:t>Interpretazione e classificazione di una variante genica</w:t>
      </w:r>
    </w:p>
    <w:p w:rsidR="003D34E2" w:rsidRDefault="00C352B4" w:rsidP="00B301E4">
      <w:pPr>
        <w:ind w:left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1D01" w:rsidRPr="003D34E2" w:rsidRDefault="003D34E2" w:rsidP="00B301E4">
      <w:pPr>
        <w:ind w:left="708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>Programma</w:t>
      </w:r>
    </w:p>
    <w:p w:rsidR="003D34E2" w:rsidRPr="00DC2A80" w:rsidRDefault="003A1EF5" w:rsidP="00B301E4">
      <w:pPr>
        <w:ind w:left="708"/>
        <w:rPr>
          <w:sz w:val="28"/>
          <w:szCs w:val="28"/>
        </w:rPr>
      </w:pPr>
      <w:r>
        <w:rPr>
          <w:sz w:val="28"/>
          <w:szCs w:val="28"/>
        </w:rPr>
        <w:t>Mutazioni e polimorfismi. Tipologie di mutazioni. Sequenziamento di Sanger e sequenziamento di nuova generazione. Sequenze di riferimen</w:t>
      </w:r>
      <w:r w:rsidR="00703C2E">
        <w:rPr>
          <w:sz w:val="28"/>
          <w:szCs w:val="28"/>
        </w:rPr>
        <w:t>to. Nomenclatura per la descrizione delle</w:t>
      </w:r>
      <w:r w:rsidR="00FD0A22">
        <w:rPr>
          <w:sz w:val="28"/>
          <w:szCs w:val="28"/>
        </w:rPr>
        <w:t xml:space="preserve"> varianti</w:t>
      </w:r>
      <w:r w:rsidR="00703C2E">
        <w:rPr>
          <w:sz w:val="28"/>
          <w:szCs w:val="28"/>
        </w:rPr>
        <w:t xml:space="preserve"> di sequenza</w:t>
      </w:r>
      <w:r>
        <w:rPr>
          <w:sz w:val="28"/>
          <w:szCs w:val="28"/>
        </w:rPr>
        <w:t>.</w:t>
      </w:r>
      <w:r w:rsidR="00FD0A22">
        <w:rPr>
          <w:sz w:val="28"/>
          <w:szCs w:val="28"/>
        </w:rPr>
        <w:t xml:space="preserve"> </w:t>
      </w:r>
      <w:r w:rsidR="00703C2E">
        <w:rPr>
          <w:sz w:val="28"/>
          <w:szCs w:val="28"/>
        </w:rPr>
        <w:t>L'i</w:t>
      </w:r>
      <w:r w:rsidR="00FD0A22" w:rsidRPr="00703C2E">
        <w:rPr>
          <w:sz w:val="28"/>
          <w:szCs w:val="28"/>
        </w:rPr>
        <w:t xml:space="preserve">nterpretazione delle varianti di sequenza. </w:t>
      </w:r>
      <w:r w:rsidR="00FD0A22" w:rsidRPr="00DC2A80">
        <w:rPr>
          <w:sz w:val="28"/>
          <w:szCs w:val="28"/>
        </w:rPr>
        <w:t>Strumenti bioinformatici</w:t>
      </w:r>
      <w:r w:rsidR="00DC2A80" w:rsidRPr="00DC2A80">
        <w:rPr>
          <w:sz w:val="28"/>
          <w:szCs w:val="28"/>
        </w:rPr>
        <w:t xml:space="preserve"> utili per l'interpretazione delle varianti di sequenza</w:t>
      </w:r>
      <w:r w:rsidR="00FD0A22" w:rsidRPr="00DC2A80">
        <w:rPr>
          <w:sz w:val="28"/>
          <w:szCs w:val="28"/>
        </w:rPr>
        <w:t xml:space="preserve">. </w:t>
      </w:r>
      <w:r w:rsidR="00896C50">
        <w:rPr>
          <w:sz w:val="28"/>
          <w:szCs w:val="28"/>
        </w:rPr>
        <w:t>Esempi di d</w:t>
      </w:r>
      <w:r w:rsidR="00DC2A80">
        <w:rPr>
          <w:sz w:val="28"/>
          <w:szCs w:val="28"/>
        </w:rPr>
        <w:t xml:space="preserve">iagnostica molecolare </w:t>
      </w:r>
      <w:r w:rsidR="00FB6E5A">
        <w:rPr>
          <w:sz w:val="28"/>
          <w:szCs w:val="28"/>
        </w:rPr>
        <w:t>in</w:t>
      </w:r>
      <w:r w:rsidR="00896C50">
        <w:rPr>
          <w:sz w:val="28"/>
          <w:szCs w:val="28"/>
        </w:rPr>
        <w:t xml:space="preserve"> malattie genetiche.</w:t>
      </w:r>
    </w:p>
    <w:p w:rsidR="003A1EF5" w:rsidRPr="00DC2A80" w:rsidRDefault="003A1EF5" w:rsidP="00B301E4">
      <w:pPr>
        <w:ind w:left="708"/>
        <w:rPr>
          <w:sz w:val="28"/>
          <w:szCs w:val="28"/>
        </w:rPr>
      </w:pPr>
    </w:p>
    <w:p w:rsidR="00896C50" w:rsidRPr="00896C50" w:rsidRDefault="00896C50" w:rsidP="00B301E4">
      <w:pPr>
        <w:ind w:left="708"/>
        <w:rPr>
          <w:b/>
          <w:sz w:val="28"/>
          <w:szCs w:val="28"/>
        </w:rPr>
      </w:pPr>
      <w:r w:rsidRPr="00896C50">
        <w:rPr>
          <w:b/>
          <w:sz w:val="28"/>
          <w:szCs w:val="28"/>
        </w:rPr>
        <w:t>Programme</w:t>
      </w:r>
    </w:p>
    <w:p w:rsidR="003A1EF5" w:rsidRPr="00DC2A80" w:rsidRDefault="003A1EF5" w:rsidP="00B301E4">
      <w:pPr>
        <w:ind w:left="708"/>
        <w:rPr>
          <w:sz w:val="28"/>
          <w:szCs w:val="28"/>
          <w:lang w:val="en-US"/>
        </w:rPr>
      </w:pPr>
      <w:r w:rsidRPr="00896C50">
        <w:rPr>
          <w:sz w:val="28"/>
          <w:szCs w:val="28"/>
        </w:rPr>
        <w:t xml:space="preserve">Mutations and polymorphisms. </w:t>
      </w:r>
      <w:r w:rsidRPr="00FD0A22">
        <w:rPr>
          <w:sz w:val="28"/>
          <w:szCs w:val="28"/>
          <w:lang w:val="en-US"/>
        </w:rPr>
        <w:t>Types of mutations</w:t>
      </w:r>
      <w:r w:rsidR="00FD0A22" w:rsidRPr="00FD0A22">
        <w:rPr>
          <w:sz w:val="28"/>
          <w:szCs w:val="28"/>
          <w:lang w:val="en-US"/>
        </w:rPr>
        <w:t>. Sanger sequencing and next-</w:t>
      </w:r>
      <w:r w:rsidRPr="00FD0A22">
        <w:rPr>
          <w:sz w:val="28"/>
          <w:szCs w:val="28"/>
          <w:lang w:val="en-US"/>
        </w:rPr>
        <w:t xml:space="preserve">generation sequencing. Reference sequences. </w:t>
      </w:r>
      <w:r w:rsidR="00703C2E" w:rsidRPr="00703C2E">
        <w:rPr>
          <w:sz w:val="28"/>
          <w:szCs w:val="28"/>
          <w:lang w:val="en-US"/>
        </w:rPr>
        <w:t>Nomenclature for the description of sequence variants</w:t>
      </w:r>
      <w:r>
        <w:rPr>
          <w:sz w:val="28"/>
          <w:szCs w:val="28"/>
        </w:rPr>
        <w:t>.</w:t>
      </w:r>
      <w:r w:rsidR="00FD0A22">
        <w:rPr>
          <w:sz w:val="28"/>
          <w:szCs w:val="28"/>
        </w:rPr>
        <w:t xml:space="preserve"> </w:t>
      </w:r>
      <w:r w:rsidR="00FD0A22" w:rsidRPr="00DC2A80">
        <w:rPr>
          <w:sz w:val="28"/>
          <w:szCs w:val="28"/>
          <w:lang w:val="en-US"/>
        </w:rPr>
        <w:t xml:space="preserve">The interpretation of sequence variants. </w:t>
      </w:r>
      <w:r w:rsidR="00DC2A80">
        <w:rPr>
          <w:sz w:val="28"/>
          <w:szCs w:val="28"/>
          <w:lang w:val="en-US"/>
        </w:rPr>
        <w:t>U</w:t>
      </w:r>
      <w:r w:rsidR="00DC2A80" w:rsidRPr="00DC2A80">
        <w:rPr>
          <w:sz w:val="28"/>
          <w:szCs w:val="28"/>
          <w:lang w:val="en-US"/>
        </w:rPr>
        <w:t xml:space="preserve">seful </w:t>
      </w:r>
      <w:r w:rsidR="00FD0A22" w:rsidRPr="00DC2A80">
        <w:rPr>
          <w:sz w:val="28"/>
          <w:szCs w:val="28"/>
          <w:lang w:val="en-US"/>
        </w:rPr>
        <w:t>Bioinformatic tools</w:t>
      </w:r>
      <w:r w:rsidR="00DC2A80" w:rsidRPr="00DC2A80">
        <w:rPr>
          <w:sz w:val="28"/>
          <w:szCs w:val="28"/>
          <w:lang w:val="en-US"/>
        </w:rPr>
        <w:t xml:space="preserve"> for the interpretation of sequence variants</w:t>
      </w:r>
      <w:r w:rsidR="00DC2A80">
        <w:rPr>
          <w:sz w:val="28"/>
          <w:szCs w:val="28"/>
          <w:lang w:val="en-US"/>
        </w:rPr>
        <w:t xml:space="preserve">. </w:t>
      </w:r>
      <w:r w:rsidR="00896C50">
        <w:rPr>
          <w:sz w:val="28"/>
          <w:szCs w:val="28"/>
          <w:lang w:val="en-US"/>
        </w:rPr>
        <w:t>Examples of m</w:t>
      </w:r>
      <w:r w:rsidR="00DC2A80">
        <w:rPr>
          <w:sz w:val="28"/>
          <w:szCs w:val="28"/>
          <w:lang w:val="en-US"/>
        </w:rPr>
        <w:t xml:space="preserve">olecular diagnostics </w:t>
      </w:r>
      <w:r w:rsidR="00FB6E5A">
        <w:rPr>
          <w:sz w:val="28"/>
          <w:szCs w:val="28"/>
          <w:lang w:val="en-US"/>
        </w:rPr>
        <w:t>in</w:t>
      </w:r>
      <w:r w:rsidR="00896C50">
        <w:rPr>
          <w:sz w:val="28"/>
          <w:szCs w:val="28"/>
          <w:lang w:val="en-US"/>
        </w:rPr>
        <w:t xml:space="preserve"> genetic diseases.</w:t>
      </w:r>
    </w:p>
    <w:p w:rsidR="003A1EF5" w:rsidRPr="00DC2A80" w:rsidRDefault="003A1EF5" w:rsidP="00B301E4">
      <w:pPr>
        <w:ind w:left="708"/>
        <w:rPr>
          <w:sz w:val="28"/>
          <w:szCs w:val="28"/>
          <w:lang w:val="en-US"/>
        </w:rPr>
      </w:pPr>
    </w:p>
    <w:p w:rsidR="003D34E2" w:rsidRDefault="003D34E2" w:rsidP="00B301E4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Stima dell’impegno orario richiesto per lo studio individuale del programma</w:t>
      </w:r>
    </w:p>
    <w:p w:rsidR="003D34E2" w:rsidRPr="003D34E2" w:rsidRDefault="001C12C3" w:rsidP="00B301E4">
      <w:pPr>
        <w:ind w:left="708"/>
        <w:rPr>
          <w:sz w:val="28"/>
          <w:szCs w:val="28"/>
        </w:rPr>
      </w:pPr>
      <w:r>
        <w:rPr>
          <w:sz w:val="28"/>
          <w:szCs w:val="28"/>
        </w:rPr>
        <w:t>25 ore di studio</w:t>
      </w:r>
    </w:p>
    <w:p w:rsidR="003D34E2" w:rsidRDefault="003D34E2" w:rsidP="00B301E4">
      <w:pPr>
        <w:ind w:left="708"/>
        <w:rPr>
          <w:b/>
          <w:sz w:val="28"/>
          <w:szCs w:val="28"/>
        </w:rPr>
      </w:pPr>
    </w:p>
    <w:p w:rsidR="00BA1D01" w:rsidRPr="003D34E2" w:rsidRDefault="00BA1D01" w:rsidP="00B301E4">
      <w:pPr>
        <w:ind w:left="708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 xml:space="preserve">Metodi Insegnamento utilizzati </w:t>
      </w:r>
    </w:p>
    <w:p w:rsidR="003251F4" w:rsidRDefault="001C12C3" w:rsidP="00B301E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Lezioni frontali e descrizione di </w:t>
      </w:r>
      <w:r w:rsidR="003251F4" w:rsidRPr="003D34E2">
        <w:rPr>
          <w:sz w:val="28"/>
          <w:szCs w:val="28"/>
        </w:rPr>
        <w:t>casi</w:t>
      </w:r>
    </w:p>
    <w:p w:rsidR="001C12C3" w:rsidRPr="003D34E2" w:rsidRDefault="001C12C3" w:rsidP="00B301E4">
      <w:pPr>
        <w:ind w:left="708"/>
        <w:rPr>
          <w:sz w:val="28"/>
          <w:szCs w:val="28"/>
        </w:rPr>
      </w:pPr>
    </w:p>
    <w:p w:rsidR="00BA1D01" w:rsidRPr="003D34E2" w:rsidRDefault="003251F4" w:rsidP="00B301E4">
      <w:pPr>
        <w:ind w:left="708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>Risorse per l’apprendimento</w:t>
      </w:r>
    </w:p>
    <w:p w:rsidR="003251F4" w:rsidRDefault="003251F4" w:rsidP="00B301E4">
      <w:pPr>
        <w:ind w:left="708"/>
        <w:rPr>
          <w:sz w:val="28"/>
          <w:szCs w:val="28"/>
          <w:u w:val="single"/>
        </w:rPr>
      </w:pPr>
      <w:r w:rsidRPr="003D34E2">
        <w:rPr>
          <w:sz w:val="28"/>
          <w:szCs w:val="28"/>
          <w:u w:val="single"/>
        </w:rPr>
        <w:t>Libri di testo</w:t>
      </w:r>
    </w:p>
    <w:p w:rsidR="009005BF" w:rsidRPr="00EA73C3" w:rsidRDefault="009005BF" w:rsidP="009005BF">
      <w:pPr>
        <w:ind w:left="708"/>
        <w:rPr>
          <w:sz w:val="28"/>
          <w:szCs w:val="28"/>
        </w:rPr>
      </w:pPr>
      <w:r w:rsidRPr="00EA73C3">
        <w:rPr>
          <w:sz w:val="28"/>
          <w:szCs w:val="28"/>
        </w:rPr>
        <w:t>Thompson &amp; Thompson. Genetica in medicina</w:t>
      </w:r>
    </w:p>
    <w:p w:rsidR="001C12C3" w:rsidRDefault="009005BF" w:rsidP="009005BF">
      <w:pPr>
        <w:ind w:left="708"/>
        <w:rPr>
          <w:sz w:val="28"/>
          <w:szCs w:val="28"/>
          <w:lang w:val="en-US"/>
        </w:rPr>
      </w:pPr>
      <w:r w:rsidRPr="00EA73C3">
        <w:rPr>
          <w:sz w:val="28"/>
          <w:szCs w:val="28"/>
          <w:lang w:val="en-US"/>
        </w:rPr>
        <w:t>Robert L. Nussbaum,Roderick R. McInnes,Huntington F. Willard</w:t>
      </w:r>
    </w:p>
    <w:p w:rsidR="00EA73C3" w:rsidRDefault="00EA73C3" w:rsidP="009005BF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Edises</w:t>
      </w:r>
    </w:p>
    <w:p w:rsidR="00EA73C3" w:rsidRDefault="00EA73C3" w:rsidP="009005BF">
      <w:pPr>
        <w:ind w:left="708"/>
        <w:rPr>
          <w:sz w:val="28"/>
          <w:szCs w:val="28"/>
          <w:lang w:val="en-US"/>
        </w:rPr>
      </w:pPr>
    </w:p>
    <w:p w:rsidR="00EA73C3" w:rsidRPr="00EA73C3" w:rsidRDefault="00EA73C3" w:rsidP="009005BF">
      <w:pPr>
        <w:ind w:left="708"/>
        <w:rPr>
          <w:sz w:val="28"/>
          <w:szCs w:val="28"/>
        </w:rPr>
      </w:pPr>
      <w:r w:rsidRPr="00EA73C3">
        <w:rPr>
          <w:sz w:val="28"/>
          <w:szCs w:val="28"/>
        </w:rPr>
        <w:t>Genetica umana e medica.</w:t>
      </w:r>
    </w:p>
    <w:p w:rsidR="00EA73C3" w:rsidRDefault="00EA73C3" w:rsidP="009005BF">
      <w:pPr>
        <w:ind w:left="708"/>
        <w:rPr>
          <w:sz w:val="28"/>
          <w:szCs w:val="28"/>
        </w:rPr>
      </w:pPr>
      <w:r w:rsidRPr="00EA73C3">
        <w:rPr>
          <w:sz w:val="28"/>
          <w:szCs w:val="28"/>
        </w:rPr>
        <w:t>Giovanni Neri, Maurizio Genuardi</w:t>
      </w:r>
    </w:p>
    <w:p w:rsidR="00EA73C3" w:rsidRPr="00EA73C3" w:rsidRDefault="00EA73C3" w:rsidP="009005BF">
      <w:pPr>
        <w:ind w:left="708"/>
        <w:rPr>
          <w:sz w:val="28"/>
          <w:szCs w:val="28"/>
        </w:rPr>
      </w:pPr>
      <w:r>
        <w:rPr>
          <w:sz w:val="28"/>
          <w:szCs w:val="28"/>
        </w:rPr>
        <w:t>Edra -Masson</w:t>
      </w:r>
    </w:p>
    <w:p w:rsidR="003251F4" w:rsidRPr="00EA73C3" w:rsidRDefault="003251F4" w:rsidP="00B301E4">
      <w:pPr>
        <w:ind w:left="708"/>
        <w:rPr>
          <w:sz w:val="28"/>
          <w:szCs w:val="28"/>
        </w:rPr>
      </w:pPr>
    </w:p>
    <w:p w:rsidR="003251F4" w:rsidRPr="003D34E2" w:rsidRDefault="003251F4" w:rsidP="00B301E4">
      <w:pPr>
        <w:ind w:left="708"/>
        <w:rPr>
          <w:sz w:val="28"/>
          <w:szCs w:val="28"/>
          <w:u w:val="single"/>
        </w:rPr>
      </w:pPr>
      <w:r w:rsidRPr="003D34E2">
        <w:rPr>
          <w:sz w:val="28"/>
          <w:szCs w:val="28"/>
          <w:u w:val="single"/>
        </w:rPr>
        <w:t>Ulteriori letture consigliate</w:t>
      </w:r>
      <w:r w:rsidR="003D34E2">
        <w:rPr>
          <w:sz w:val="28"/>
          <w:szCs w:val="28"/>
          <w:u w:val="single"/>
        </w:rPr>
        <w:t xml:space="preserve"> per approfondimento</w:t>
      </w:r>
    </w:p>
    <w:p w:rsidR="003251F4" w:rsidRDefault="001C12C3" w:rsidP="00B301E4">
      <w:pPr>
        <w:ind w:left="708"/>
        <w:rPr>
          <w:sz w:val="28"/>
          <w:szCs w:val="28"/>
          <w:lang w:val="en-US"/>
        </w:rPr>
      </w:pPr>
      <w:r w:rsidRPr="001C12C3">
        <w:rPr>
          <w:sz w:val="28"/>
          <w:szCs w:val="28"/>
          <w:lang w:val="en-US"/>
        </w:rPr>
        <w:t>Standards and guidelines for the interpretation of sequence variants</w:t>
      </w:r>
      <w:r>
        <w:rPr>
          <w:sz w:val="28"/>
          <w:szCs w:val="28"/>
          <w:lang w:val="en-US"/>
        </w:rPr>
        <w:t xml:space="preserve"> …</w:t>
      </w:r>
    </w:p>
    <w:p w:rsidR="00BD6443" w:rsidRDefault="009005BF" w:rsidP="00997603">
      <w:pPr>
        <w:ind w:left="720"/>
        <w:rPr>
          <w:sz w:val="28"/>
          <w:szCs w:val="28"/>
        </w:rPr>
      </w:pPr>
      <w:r w:rsidRPr="009005BF">
        <w:rPr>
          <w:sz w:val="28"/>
          <w:szCs w:val="28"/>
        </w:rPr>
        <w:t>Genet Med. 2015 May;17(5):405-24.</w:t>
      </w:r>
    </w:p>
    <w:p w:rsidR="009005BF" w:rsidRPr="009005BF" w:rsidRDefault="009005BF" w:rsidP="00997603">
      <w:pPr>
        <w:ind w:left="720"/>
        <w:rPr>
          <w:sz w:val="28"/>
          <w:szCs w:val="28"/>
        </w:rPr>
      </w:pPr>
    </w:p>
    <w:p w:rsidR="003251F4" w:rsidRDefault="00997603" w:rsidP="00997603">
      <w:pPr>
        <w:ind w:left="720"/>
        <w:rPr>
          <w:b/>
          <w:sz w:val="28"/>
          <w:szCs w:val="28"/>
        </w:rPr>
      </w:pPr>
      <w:r w:rsidRPr="00997603">
        <w:rPr>
          <w:b/>
          <w:sz w:val="28"/>
          <w:szCs w:val="28"/>
        </w:rPr>
        <w:t>Modalità di frequenza</w:t>
      </w:r>
    </w:p>
    <w:p w:rsidR="00356CAF" w:rsidRPr="00356CAF" w:rsidRDefault="009C2084" w:rsidP="00997603">
      <w:pPr>
        <w:ind w:left="720"/>
        <w:rPr>
          <w:sz w:val="28"/>
          <w:szCs w:val="28"/>
        </w:rPr>
      </w:pPr>
      <w:r>
        <w:rPr>
          <w:sz w:val="28"/>
          <w:szCs w:val="28"/>
        </w:rPr>
        <w:t>Le modalità sono indicate</w:t>
      </w:r>
      <w:r w:rsidR="007402F7">
        <w:rPr>
          <w:sz w:val="28"/>
          <w:szCs w:val="28"/>
        </w:rPr>
        <w:t xml:space="preserve"> dall’art.8 del Regolamento didattico d’Ateneo.</w:t>
      </w:r>
    </w:p>
    <w:p w:rsidR="00356CAF" w:rsidRPr="00997603" w:rsidRDefault="00356CAF" w:rsidP="00997603">
      <w:pPr>
        <w:ind w:left="720"/>
        <w:rPr>
          <w:b/>
          <w:sz w:val="28"/>
          <w:szCs w:val="28"/>
        </w:rPr>
      </w:pPr>
    </w:p>
    <w:p w:rsidR="00DB1C81" w:rsidRPr="00356CAF" w:rsidRDefault="003251F4" w:rsidP="00997603">
      <w:pPr>
        <w:ind w:left="720"/>
        <w:rPr>
          <w:b/>
          <w:sz w:val="28"/>
          <w:szCs w:val="28"/>
        </w:rPr>
      </w:pPr>
      <w:r w:rsidRPr="00356CAF">
        <w:rPr>
          <w:b/>
          <w:sz w:val="28"/>
          <w:szCs w:val="28"/>
        </w:rPr>
        <w:t xml:space="preserve">Modalità di accertamento </w:t>
      </w:r>
    </w:p>
    <w:p w:rsidR="003251F4" w:rsidRPr="003D34E2" w:rsidRDefault="003251F4" w:rsidP="003251F4">
      <w:pPr>
        <w:ind w:left="720"/>
        <w:rPr>
          <w:sz w:val="28"/>
          <w:szCs w:val="28"/>
        </w:rPr>
      </w:pPr>
      <w:r w:rsidRPr="003D34E2">
        <w:rPr>
          <w:sz w:val="28"/>
          <w:szCs w:val="28"/>
        </w:rPr>
        <w:t xml:space="preserve">Le modalità generali sono indicate nel regolamento didattico di Ateneo all’art.22 consultabile al link </w:t>
      </w:r>
      <w:hyperlink r:id="rId7" w:history="1">
        <w:r w:rsidRPr="003D34E2">
          <w:rPr>
            <w:rStyle w:val="Collegamentoipertestuale"/>
            <w:sz w:val="28"/>
            <w:szCs w:val="28"/>
          </w:rPr>
          <w:t>http://www.unicz.it/pdf/regolamento_didattico_ateneo_dr681.pdf</w:t>
        </w:r>
      </w:hyperlink>
    </w:p>
    <w:p w:rsidR="00093EF5" w:rsidRDefault="00093EF5" w:rsidP="003251F4">
      <w:pPr>
        <w:ind w:left="720"/>
        <w:rPr>
          <w:sz w:val="28"/>
          <w:szCs w:val="28"/>
        </w:rPr>
      </w:pPr>
    </w:p>
    <w:p w:rsidR="003251F4" w:rsidRPr="003D34E2" w:rsidRDefault="003251F4" w:rsidP="003251F4">
      <w:pPr>
        <w:ind w:left="720"/>
        <w:rPr>
          <w:sz w:val="28"/>
          <w:szCs w:val="28"/>
        </w:rPr>
      </w:pPr>
      <w:r w:rsidRPr="003D34E2">
        <w:rPr>
          <w:sz w:val="28"/>
          <w:szCs w:val="28"/>
        </w:rPr>
        <w:t xml:space="preserve">L’esame </w:t>
      </w:r>
      <w:r w:rsidR="00093EF5">
        <w:rPr>
          <w:sz w:val="28"/>
          <w:szCs w:val="28"/>
        </w:rPr>
        <w:t xml:space="preserve">finale </w:t>
      </w:r>
      <w:r w:rsidRPr="003D34E2">
        <w:rPr>
          <w:sz w:val="28"/>
          <w:szCs w:val="28"/>
        </w:rPr>
        <w:t>sarà svolto in forma</w:t>
      </w:r>
      <w:r w:rsidR="00160594">
        <w:rPr>
          <w:sz w:val="28"/>
          <w:szCs w:val="28"/>
        </w:rPr>
        <w:t xml:space="preserve"> </w:t>
      </w:r>
      <w:r w:rsidRPr="003D34E2">
        <w:rPr>
          <w:sz w:val="28"/>
          <w:szCs w:val="28"/>
        </w:rPr>
        <w:t>orale</w:t>
      </w:r>
      <w:r w:rsidR="00160594">
        <w:rPr>
          <w:sz w:val="28"/>
          <w:szCs w:val="28"/>
        </w:rPr>
        <w:t>.</w:t>
      </w:r>
      <w:r w:rsidRPr="003D34E2">
        <w:rPr>
          <w:sz w:val="28"/>
          <w:szCs w:val="28"/>
        </w:rPr>
        <w:t xml:space="preserve"> </w:t>
      </w:r>
    </w:p>
    <w:p w:rsidR="003A5154" w:rsidRDefault="003251F4" w:rsidP="00997603">
      <w:pPr>
        <w:ind w:left="720"/>
        <w:rPr>
          <w:sz w:val="28"/>
          <w:szCs w:val="28"/>
        </w:rPr>
      </w:pPr>
      <w:r w:rsidRPr="003D34E2">
        <w:rPr>
          <w:sz w:val="28"/>
          <w:szCs w:val="28"/>
        </w:rPr>
        <w:t>I criteri sulla base dei quali sarà giudicato lo studente sono:</w:t>
      </w:r>
    </w:p>
    <w:p w:rsidR="004968C6" w:rsidRDefault="004968C6" w:rsidP="00997603">
      <w:pPr>
        <w:ind w:left="720"/>
        <w:rPr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07"/>
        <w:gridCol w:w="2882"/>
        <w:gridCol w:w="2215"/>
        <w:gridCol w:w="2224"/>
      </w:tblGrid>
      <w:tr w:rsidR="004968C6" w:rsidTr="004968C6">
        <w:tc>
          <w:tcPr>
            <w:tcW w:w="214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4968C6" w:rsidRPr="004968C6" w:rsidRDefault="004968C6" w:rsidP="00997603">
            <w:pPr>
              <w:rPr>
                <w:color w:val="000000" w:themeColor="text1"/>
                <w:sz w:val="28"/>
                <w:szCs w:val="28"/>
              </w:rPr>
            </w:pPr>
            <w:r w:rsidRPr="004968C6">
              <w:rPr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336" w:type="dxa"/>
          </w:tcPr>
          <w:p w:rsidR="004968C6" w:rsidRPr="004968C6" w:rsidRDefault="004968C6" w:rsidP="00997603">
            <w:pPr>
              <w:rPr>
                <w:color w:val="000000" w:themeColor="text1"/>
                <w:sz w:val="28"/>
                <w:szCs w:val="28"/>
              </w:rPr>
            </w:pPr>
            <w:r w:rsidRPr="004968C6">
              <w:rPr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340" w:type="dxa"/>
          </w:tcPr>
          <w:p w:rsidR="004968C6" w:rsidRPr="004968C6" w:rsidRDefault="004968C6" w:rsidP="00997603">
            <w:pPr>
              <w:rPr>
                <w:color w:val="000000" w:themeColor="text1"/>
                <w:sz w:val="28"/>
                <w:szCs w:val="28"/>
              </w:rPr>
            </w:pPr>
            <w:r w:rsidRPr="004968C6">
              <w:rPr>
                <w:b/>
                <w:bCs/>
                <w:color w:val="000000" w:themeColor="text1"/>
              </w:rPr>
              <w:t>Utilizzo di referenze</w:t>
            </w:r>
          </w:p>
        </w:tc>
      </w:tr>
      <w:tr w:rsidR="004968C6" w:rsidTr="004968C6">
        <w:tc>
          <w:tcPr>
            <w:tcW w:w="214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Non idoneo</w:t>
            </w:r>
          </w:p>
        </w:tc>
        <w:tc>
          <w:tcPr>
            <w:tcW w:w="2306" w:type="dxa"/>
          </w:tcPr>
          <w:p w:rsidR="004968C6" w:rsidRPr="004968C6" w:rsidRDefault="004968C6" w:rsidP="004968C6">
            <w:pPr>
              <w:ind w:left="139"/>
            </w:pPr>
            <w:r w:rsidRPr="004968C6">
              <w:t>Importanti carenze.</w:t>
            </w:r>
          </w:p>
          <w:p w:rsidR="004968C6" w:rsidRDefault="004968C6" w:rsidP="004968C6">
            <w:pPr>
              <w:rPr>
                <w:sz w:val="28"/>
                <w:szCs w:val="28"/>
              </w:rPr>
            </w:pPr>
            <w:r w:rsidRPr="004968C6">
              <w:t>Significativeinaccuratezze</w:t>
            </w:r>
          </w:p>
        </w:tc>
        <w:tc>
          <w:tcPr>
            <w:tcW w:w="233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Irrilevanti. Frequenti generalizzazioni. Incapacità di sintesi</w:t>
            </w:r>
          </w:p>
        </w:tc>
        <w:tc>
          <w:tcPr>
            <w:tcW w:w="2340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Completamente inappropriato</w:t>
            </w:r>
          </w:p>
        </w:tc>
      </w:tr>
      <w:tr w:rsidR="004968C6" w:rsidTr="004968C6">
        <w:tc>
          <w:tcPr>
            <w:tcW w:w="214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18-20</w:t>
            </w:r>
          </w:p>
        </w:tc>
        <w:tc>
          <w:tcPr>
            <w:tcW w:w="230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A livello soglia. Imperfezionievidenti</w:t>
            </w:r>
          </w:p>
        </w:tc>
        <w:tc>
          <w:tcPr>
            <w:tcW w:w="233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Capacità appena sufficienti</w:t>
            </w:r>
          </w:p>
        </w:tc>
        <w:tc>
          <w:tcPr>
            <w:tcW w:w="2340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Appena appropriato</w:t>
            </w:r>
          </w:p>
        </w:tc>
      </w:tr>
      <w:tr w:rsidR="004968C6" w:rsidTr="004968C6">
        <w:tc>
          <w:tcPr>
            <w:tcW w:w="214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21-23</w:t>
            </w:r>
          </w:p>
        </w:tc>
        <w:tc>
          <w:tcPr>
            <w:tcW w:w="230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routinaria</w:t>
            </w:r>
          </w:p>
        </w:tc>
        <w:tc>
          <w:tcPr>
            <w:tcW w:w="233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E’ in grado di analisi e sintesi corrette. Argomenta in modo logico e coerente</w:t>
            </w:r>
          </w:p>
        </w:tc>
        <w:tc>
          <w:tcPr>
            <w:tcW w:w="2340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Utilizza le referenze standard</w:t>
            </w:r>
          </w:p>
        </w:tc>
      </w:tr>
      <w:tr w:rsidR="004968C6" w:rsidTr="004968C6">
        <w:tc>
          <w:tcPr>
            <w:tcW w:w="214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24-26</w:t>
            </w:r>
          </w:p>
        </w:tc>
        <w:tc>
          <w:tcPr>
            <w:tcW w:w="230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buona</w:t>
            </w:r>
          </w:p>
        </w:tc>
        <w:tc>
          <w:tcPr>
            <w:tcW w:w="233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capacità di a. e s. buone gli argomenti sono espressi coerentemente</w:t>
            </w:r>
          </w:p>
        </w:tc>
        <w:tc>
          <w:tcPr>
            <w:tcW w:w="2340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Utilizza le referenze standard</w:t>
            </w:r>
          </w:p>
        </w:tc>
      </w:tr>
      <w:tr w:rsidR="004968C6" w:rsidTr="004968C6">
        <w:tc>
          <w:tcPr>
            <w:tcW w:w="214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27-29</w:t>
            </w:r>
          </w:p>
        </w:tc>
        <w:tc>
          <w:tcPr>
            <w:tcW w:w="230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più che buona</w:t>
            </w:r>
          </w:p>
        </w:tc>
        <w:tc>
          <w:tcPr>
            <w:tcW w:w="233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notevoli capacità di a. e s.</w:t>
            </w:r>
          </w:p>
        </w:tc>
        <w:tc>
          <w:tcPr>
            <w:tcW w:w="2340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approfondito gli argomenti</w:t>
            </w:r>
          </w:p>
        </w:tc>
      </w:tr>
      <w:tr w:rsidR="004968C6" w:rsidTr="004968C6">
        <w:tc>
          <w:tcPr>
            <w:tcW w:w="214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30-30L</w:t>
            </w:r>
          </w:p>
        </w:tc>
        <w:tc>
          <w:tcPr>
            <w:tcW w:w="230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ottima</w:t>
            </w:r>
          </w:p>
        </w:tc>
        <w:tc>
          <w:tcPr>
            <w:tcW w:w="2336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notevoli capacità di a. e s.</w:t>
            </w:r>
          </w:p>
        </w:tc>
        <w:tc>
          <w:tcPr>
            <w:tcW w:w="2340" w:type="dxa"/>
          </w:tcPr>
          <w:p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Importanti approfondimenti</w:t>
            </w:r>
          </w:p>
        </w:tc>
      </w:tr>
    </w:tbl>
    <w:p w:rsidR="004968C6" w:rsidRPr="00997603" w:rsidRDefault="004968C6" w:rsidP="00997603">
      <w:pPr>
        <w:ind w:left="720"/>
        <w:rPr>
          <w:sz w:val="28"/>
          <w:szCs w:val="28"/>
        </w:rPr>
      </w:pPr>
    </w:p>
    <w:sectPr w:rsidR="004968C6" w:rsidRPr="00997603" w:rsidSect="000738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43"/>
    <w:rsid w:val="00073817"/>
    <w:rsid w:val="00093EF5"/>
    <w:rsid w:val="00160594"/>
    <w:rsid w:val="001C12C3"/>
    <w:rsid w:val="002F0F5F"/>
    <w:rsid w:val="003251F4"/>
    <w:rsid w:val="003466E3"/>
    <w:rsid w:val="00356CAF"/>
    <w:rsid w:val="00363DB3"/>
    <w:rsid w:val="003A1EF5"/>
    <w:rsid w:val="003A5154"/>
    <w:rsid w:val="003D34E2"/>
    <w:rsid w:val="004968C6"/>
    <w:rsid w:val="00507B0C"/>
    <w:rsid w:val="0063140D"/>
    <w:rsid w:val="00703C2E"/>
    <w:rsid w:val="007402F7"/>
    <w:rsid w:val="00773A83"/>
    <w:rsid w:val="00872E18"/>
    <w:rsid w:val="00896C50"/>
    <w:rsid w:val="009005BF"/>
    <w:rsid w:val="0097339E"/>
    <w:rsid w:val="00997603"/>
    <w:rsid w:val="009C2084"/>
    <w:rsid w:val="009E371C"/>
    <w:rsid w:val="00B301E4"/>
    <w:rsid w:val="00BA1D01"/>
    <w:rsid w:val="00BB4855"/>
    <w:rsid w:val="00BD6443"/>
    <w:rsid w:val="00C352B4"/>
    <w:rsid w:val="00DB1C81"/>
    <w:rsid w:val="00DC2A80"/>
    <w:rsid w:val="00EA73C3"/>
    <w:rsid w:val="00F52964"/>
    <w:rsid w:val="00FB6E5A"/>
    <w:rsid w:val="00FD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rnl">
    <w:name w:val="jrnl"/>
    <w:basedOn w:val="Carpredefinitoparagrafo"/>
    <w:rsid w:val="001C1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rnl">
    <w:name w:val="jrnl"/>
    <w:basedOn w:val="Carpredefinitoparagrafo"/>
    <w:rsid w:val="001C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cz.it/pdf/regolamento_didattico_ateneo_dr68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E4276B-D2ED-4F2A-9018-59683DC2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Platì</cp:lastModifiedBy>
  <cp:revision>2</cp:revision>
  <cp:lastPrinted>2013-06-19T11:09:00Z</cp:lastPrinted>
  <dcterms:created xsi:type="dcterms:W3CDTF">2018-11-26T13:34:00Z</dcterms:created>
  <dcterms:modified xsi:type="dcterms:W3CDTF">2018-11-26T13:34:00Z</dcterms:modified>
</cp:coreProperties>
</file>