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C3" w:rsidRDefault="00E45776">
      <w:pPr>
        <w:rPr>
          <w:rFonts w:ascii="KievitOT-Regular" w:hAnsi="KievitOT-Regular" w:cs="KievitOT-Regular"/>
          <w:color w:val="1A1A80"/>
          <w:sz w:val="82"/>
          <w:szCs w:val="82"/>
        </w:rPr>
      </w:pPr>
      <w:bookmarkStart w:id="0" w:name="_GoBack"/>
      <w:bookmarkEnd w:id="0"/>
      <w:r>
        <w:rPr>
          <w:rFonts w:ascii="KievitOT-Regular" w:hAnsi="KievitOT-Regular" w:cs="KievitOT-Regular"/>
          <w:color w:val="1A1A80"/>
          <w:sz w:val="82"/>
          <w:szCs w:val="82"/>
        </w:rPr>
        <w:t>Pulp Chambers and Canals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terminology and essential features of the pulp chambers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and pulp canals are considered before presenting the details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pulp chambers and canals using sectioned tooth specimens.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Then a brief section on radiographic visualization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pulp chambers and canals is provided. After that a short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section is presented on crown and root fractures. A final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section considers the relationship of the teeth to the mandibular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canal.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The use of the term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chamber, pulp cavity,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coronal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to designate that part of the crown normally filled with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soft tissue varies with the anatomist; however, as with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terms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root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radicular pulp,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root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canal,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probably a matter of professional preference,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because a good case can be made for each of the terms.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These two sets of terms relating to crown and root are used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as if they have the same meaning, with the recognition that</w:t>
      </w:r>
    </w:p>
    <w:p w:rsidR="00E45776" w:rsidRDefault="00E45776" w:rsidP="00E45776">
      <w:pPr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arguably there may be contextualized differences.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Pulp, Chamber, and Canals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crown and root portion of a tooth that contains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pulp tissues has been arbitrarily divided into the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pulp chamber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the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root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pulp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13-1). The complexities ofthese cavities cannot be fully appreciated without studying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longitudinal and transverse sections of each of the representative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types of teeth.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dental pulp is the soft tissue component of the tooth.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occupies the internal cavities of the tooth (i.e., the pulp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 and pulp canal). In general, the outline of the pulp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tissue corresponds to the external outline form of the tooth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(i.e., the outline form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the pulp chamber corresponds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with the shape of the crown, whereas the outline form of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 canal corresponds w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ith the shape of the roots of a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tooth).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dental pulp within these cavities originates from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mesenchyme and has been assigned a number of different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functions: formative, nutriti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ve, sensory, and defensive.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initial function of the dental pulp is the formation of dentin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during the developmen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tal period. The complex sensory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system within the dental pulp controls the blood flow and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is responsible for at least mediation of the sensation of pain.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formation of reparativ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dentin or secondary dentition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(osteoid-like dentin) represents a defensive response to any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form of irritation, whether it is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mechanical, thermal, chemical,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or bacterial. The reactive dentin is usually limited to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area of pulpal irritati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on. Separating reactive changes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(response to injury) from purely aging-related changes may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be difficult or impossible to do at this time.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2743200" cy="2590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Radiographs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use of radiographs or digita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l radiography for the diagnosis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treatment of pulpal disease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requires that the morphological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features of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pulp chambers and root canals,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which are three-dimensional, be visualized when compressed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into a “two-dimensional” radiogr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aphic image. Thus, radiographic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views taken of the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teeth from a facial orientation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show a monoplane, bucc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olingual view of the hard tooth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structures and radiolucent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spaces for the pulp and canals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13-2). Mesiodistal aspects of longitudinal sections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usually are seen only incidentally (e.g., on radiographs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malposed, rotated teeth).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Thus, the radiographic anatomy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the pulp cavity from a mesial-distal aspect is not well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known. Radiographic views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the pulp chambers and canals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will be considered in more detail later.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drawing>
          <wp:inline distT="0" distB="0" distL="0" distR="0">
            <wp:extent cx="4000500" cy="41814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E45776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SIZE OF THE PULP CAVITY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size of the pulp chamber depends on the age of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tooth and its history of trauma. Secondary dentin is formed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lastRenderedPageBreak/>
        <w:t>continuously throughout the life of the tooth as a normal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process, as long as the vitality of the tooth is maintained.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formation of secondary dentin is not uniform, because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odontoblasts adjacent to the floor and roof of 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pulp cavity produce greater quantities of secondary dentin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than do the odontoblasts located adjacent to the walls of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pulp cavity.</w:t>
      </w:r>
      <w:r w:rsidRPr="00E45776"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1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Therefore the size of the pulp cavity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much larger in a young individual than in an adult (Figure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13-3, </w:t>
      </w:r>
      <w:r w:rsidRPr="00E45776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 xml:space="preserve">A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E45776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B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 and should be considered before extensive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tooth reduction is accomplished, especially in a young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person.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Various traumatic injuries occur that, if severe enough,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will initiate a different type of dentin formation. Irritationinduced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or reparative dentin may be formed in response to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carious process, abrasion, and attrition, as well as to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operative procedures. This response is protective but may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ultimately be detrimental in later years, because a finite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amount of space is present within the pulp cavity. The size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the pulp cavity in a given tooth should be compared with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that in the other teeth. If the calcification demonstrated is a localized phenomenon and is extensive, elective endodon-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tic therapy is strongly suggested before any restorative pro cedure. Elective endodontics should be considered when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extreme calcification is present in a tooth scheduled for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complex restorative procedures.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Foramen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neurovascular bundle, which supplies the internal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contents of the pulp cavity, enters through the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apical foramen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or foramina (see Figure 13-1).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As the root begins to develop,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apical foramen is actually larger than the pulp chamber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(Figure 13-4,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1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), but it becomes more constricted at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the completion of root formation (Figure 13-4,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2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through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5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 It is possible for any root of a tooth to have multiple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apical foramina. If these openings are large enough, 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space that leads to the main root canal is called a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supplementary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lateral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13-5). If the root canal breaks up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into multiple tiny canals, it is referred to as a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delta system</w:t>
      </w:r>
      <w:r w:rsidRPr="00E45776">
        <w:rPr>
          <w:rFonts w:ascii="JansonText-Roman" w:hAnsi="JansonText-Roman" w:cs="JansonText-Roman"/>
          <w:sz w:val="12"/>
          <w:szCs w:val="12"/>
          <w:lang w:val="en-US"/>
        </w:rPr>
        <w:t>2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because of its complexity (Figure 13-6).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Demarcation of Pulp Cavity and Canal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cementoenamel junction (CEJ) is not quite at the level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at which the root canal becomes the pulp chamber (see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Figure 13-1). This demarcation is mainly macroscopically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based but may be visualized by exploring the CEJ (see Figure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5934075" cy="572452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2-16) and noting the di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fference in density between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enamel and dentin at the mesial and distal tooth surfaces on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radiographs. Enamel cov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ers the external surface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dentin, which makes up part of the pulp chamber, whereas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cementum covers the enti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re external dentinal surface of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root canal space. The demarcation is simpler in multirooted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teeth, because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pulp cavity within the root is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root canal and the 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maining pulp cavity is the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chamber. Microscopical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ly, the pulp within the chamber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appears to be more cellular than the pulp found within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 of the root canal. The odontobl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asts are cuboidal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 the coronal pulp chamber but gradually flatten out as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apex is approache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d. The transition from the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 to the root canal is not sharply demarcated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microscopically, and this demarc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ation is not sharply delineated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macroscopically.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Pulp Horns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Projections or prolongations in the roof of the pulp chamber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correspond to the various maj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or cusps or lobes of the crown.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pulpal tissues that occupy these prolongations are called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horns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13-7). The prominence of the cusps 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lobes corresponds with the development of the pulp horns.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If the cusps or labial lobes are prominent (as in young individuals),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one should expect to find equally prominent pulp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horns underlying these structures (see Figure 13-8,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B, 6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These projections become less prominent with time as 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result of the formation of secondary dentin (see Figure 13-8,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B, 1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Clinical Applications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One of the primary function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 of the dentist is to prevent,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intercept, and treat diseases or disorders affecting the dentition.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lastRenderedPageBreak/>
        <w:t>It is also essential tha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 the clinician be aware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location and size of the pulp cavities during operative procedures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to prevent unnece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ssary encroachment on the pulp.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also incumbent on the clinician to know the location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location and size of the pulp cavities during operative procedures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to prevent unnecessary encroachment on the pulp.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also incumbent on the cl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inician to know the location of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mandibular canal and nerve.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Endodontic procedures also require a thorough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knowledge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the pulp cavity. Perforation during access preparation,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failure to locate all 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canals, or perforation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root surface may result in the ultimate loss of the tooth.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Therefore the clinician 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erforming endodontics must know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size and location of the pulp chamber and the expected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sz w:val="20"/>
          <w:szCs w:val="20"/>
          <w:lang w:val="en-US"/>
        </w:rPr>
        <w:t xml:space="preserve">number of roots and canals.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Radiographic detection of all accessory roots or canals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may not be possible, 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though some evidence is present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based on the shape of the 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rown that additional canals are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present. Even so, the clini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cian must recognize some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internal signs of addition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al canals during the endodontic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procedure. With a thorough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knowledge of the pulp cavities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 the permanent dentition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, prevention, interception, and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treatment of dentition-related diseas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processes will be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accomplished with a greater degree of success.</w:t>
      </w:r>
    </w:p>
    <w:sectPr w:rsidR="00E45776" w:rsidRPr="00E45776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76"/>
    <w:rsid w:val="00082418"/>
    <w:rsid w:val="00523A93"/>
    <w:rsid w:val="007066E6"/>
    <w:rsid w:val="00736352"/>
    <w:rsid w:val="00AA53B2"/>
    <w:rsid w:val="00E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D727-40ED-43B0-8491-AFE6F90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Adele Bianco</cp:lastModifiedBy>
  <cp:revision>2</cp:revision>
  <cp:lastPrinted>2014-03-09T12:07:00Z</cp:lastPrinted>
  <dcterms:created xsi:type="dcterms:W3CDTF">2019-04-01T08:54:00Z</dcterms:created>
  <dcterms:modified xsi:type="dcterms:W3CDTF">2019-04-01T08:54:00Z</dcterms:modified>
</cp:coreProperties>
</file>