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sz w:val="30"/>
          <w:szCs w:val="30"/>
          <w:lang w:val="en-US"/>
        </w:rPr>
      </w:pPr>
      <w:bookmarkStart w:id="0" w:name="_GoBack"/>
      <w:bookmarkEnd w:id="0"/>
      <w:r w:rsidRPr="00652464">
        <w:rPr>
          <w:rFonts w:ascii="KievitOT-Bold" w:hAnsi="KievitOT-Bold" w:cs="KievitOT-Bold"/>
          <w:b/>
          <w:bCs/>
          <w:sz w:val="30"/>
          <w:szCs w:val="30"/>
          <w:lang w:val="en-US"/>
        </w:rPr>
        <w:t>Forensic Dentistry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Forensic dentistry (odontology) is the field within the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greater disciplines of dentistry and forensic science that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evaluates, manages, and presents dental evidence in legal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proceedings in the interest of justice.</w:t>
      </w:r>
      <w:r w:rsidRPr="00652464">
        <w:rPr>
          <w:rFonts w:ascii="JansonText-Roman" w:hAnsi="JansonText-Roman" w:cs="JansonText-Roman"/>
          <w:sz w:val="12"/>
          <w:szCs w:val="12"/>
          <w:lang w:val="en-US"/>
        </w:rPr>
        <w:t xml:space="preserve">1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Forensic dental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casework often involves identification of unidentified or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missing individuals, human remains, or victims of mass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fatality incidents, including natural and accidental disasters.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This is accomplished by comparison of a victim’s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dentition and supporting structures with dental records of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known individuals. The latter records may be obtained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from private dental offices, prison or military dental databases,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or records retained by the Federal Bureau of Investigation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through its National Crime Information Center’s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Missing, Unidentified, and Wanted Persons files in a Web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environment.</w:t>
      </w:r>
      <w:r w:rsidRPr="00652464">
        <w:rPr>
          <w:rFonts w:ascii="JansonText-Roman" w:hAnsi="JansonText-Roman" w:cs="JansonText-Roman"/>
          <w:sz w:val="12"/>
          <w:szCs w:val="12"/>
          <w:lang w:val="en-US"/>
        </w:rPr>
        <w:t>2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Since forensic odontology is one of several forensic specialties,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the forensic dentist’s role often interfaces with those</w:t>
      </w:r>
    </w:p>
    <w:p w:rsidR="003535C3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of the anthropologist, criminologist, toxicologist, pathologist,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and law enforcement official involved with a case. Only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 brief summary is given here with general references addedto cited references for further reading.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</w:pPr>
      <w:r w:rsidRPr="00652464"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  <w:t>JAWS AND TEETH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Unlike the static, genetically determined friction ridgesfound on the human hand and foot (commonly referred to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as </w:t>
      </w:r>
      <w:r w:rsidRPr="00652464">
        <w:rPr>
          <w:rFonts w:ascii="JansonText-Italic" w:hAnsi="JansonText-Italic" w:cs="JansonText-Italic"/>
          <w:i/>
          <w:iCs/>
          <w:color w:val="000000"/>
          <w:sz w:val="20"/>
          <w:szCs w:val="20"/>
          <w:lang w:val="en-US"/>
        </w:rPr>
        <w:t xml:space="preserve">fingerprints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and </w:t>
      </w:r>
      <w:r w:rsidRPr="00652464">
        <w:rPr>
          <w:rFonts w:ascii="JansonText-Italic" w:hAnsi="JansonText-Italic" w:cs="JansonText-Italic"/>
          <w:i/>
          <w:iCs/>
          <w:color w:val="000000"/>
          <w:sz w:val="20"/>
          <w:szCs w:val="20"/>
          <w:lang w:val="en-US"/>
        </w:rPr>
        <w:t>footprints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) each individual’s dentition is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fluid and changes throughout life as the deciduous teeth are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exfoliated and the permanent dentition erupts. In addition,the teeth are subject to dental and periodontal disease, theoral manifestations of systemic diseases that may affect the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individual, and alterations of dental structures related to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techniques of restoration and replacement that are employed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by the dental practitioner.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Historically, despite this potential for an ever-changingdentition, inspection of the teeth and jaws has been used as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 legally accepted method of human identification. Significantcases in which identification has been resolved by means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of examination of dental evidence include identification ofRevolutionary War hero Dr. Joseph Warren, the prominent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Boston murder victim Dr. George Parkman, and AdolphHitler.</w:t>
      </w:r>
      <w:r w:rsidRPr="00652464">
        <w:rPr>
          <w:rFonts w:ascii="JansonText-Roman" w:hAnsi="JansonText-Roman" w:cs="JansonText-Roman"/>
          <w:color w:val="000000"/>
          <w:sz w:val="12"/>
          <w:szCs w:val="12"/>
          <w:lang w:val="en-US"/>
        </w:rPr>
        <w:t>3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Paramount to the success of a forensic dental comparisonbetween antemortem and postmortem dental records is the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requirement that both sets of records provide the maximumamount of dental information for analysis. Thus, dentists are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encouraged to document all dental anomalies, existing restorations,and missing teeth in their written, photographic,</w:t>
      </w:r>
    </w:p>
    <w:p w:rsidR="00652464" w:rsidRPr="002D1CA1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D1CA1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and radiographic records</w:t>
      </w:r>
    </w:p>
    <w:p w:rsidR="00652464" w:rsidRPr="002D1CA1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</w:p>
    <w:p w:rsidR="00652464" w:rsidRPr="002D1CA1" w:rsidRDefault="00652464" w:rsidP="00652464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</w:pPr>
      <w:r w:rsidRPr="002D1CA1"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  <w:t>CHRONOLOGICAL AGE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Chronological age dete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rmination is a central issue in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population studies, and racial and sex differences in tooth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2"/>
          <w:szCs w:val="12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development and eruption patterns are acknowledged.</w:t>
      </w:r>
      <w:r w:rsidRPr="00652464">
        <w:rPr>
          <w:rFonts w:ascii="JansonText-Roman" w:hAnsi="JansonText-Roman" w:cs="JansonText-Roman"/>
          <w:sz w:val="12"/>
          <w:szCs w:val="12"/>
          <w:lang w:val="en-US"/>
        </w:rPr>
        <w:t>6,7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Dental age assessment is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also important in the forensic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dental evaluation of human remains or living individuals.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 xml:space="preserve">Aging of the dentition has been employed 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in forensic dental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casework involving estimation of age of unidentified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2"/>
          <w:szCs w:val="12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individuals.</w:t>
      </w:r>
      <w:r w:rsidRPr="00652464">
        <w:rPr>
          <w:rFonts w:ascii="JansonText-Roman" w:hAnsi="JansonText-Roman" w:cs="JansonText-Roman"/>
          <w:sz w:val="12"/>
          <w:szCs w:val="12"/>
          <w:lang w:val="en-US"/>
        </w:rPr>
        <w:t>8,9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Separation of victims of mul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tiple fatality incidents by age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facilitates the narrowing of searc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hes for eventual identification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by comparison of med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ical and dental records. Dental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evaluation of illegal immigran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ts, who may present authorities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with misinformation con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cerning their age, is important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in cases in which protection of unaccompanied minors is aconcern.</w:t>
      </w:r>
      <w:r w:rsidRPr="00652464">
        <w:rPr>
          <w:rFonts w:ascii="JansonText-Roman" w:hAnsi="JansonText-Roman" w:cs="JansonText-Roman"/>
          <w:sz w:val="12"/>
          <w:szCs w:val="12"/>
          <w:lang w:val="en-US"/>
        </w:rPr>
        <w:t>2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A variety of dental age estimation procedures have been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employed. Some are useful in the analysis of radiographic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changes associated with development of the dentition of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children.</w:t>
      </w:r>
      <w:r w:rsidRPr="00652464">
        <w:rPr>
          <w:rFonts w:ascii="JansonText-Roman" w:hAnsi="JansonText-Roman" w:cs="JansonText-Roman"/>
          <w:sz w:val="12"/>
          <w:szCs w:val="12"/>
          <w:lang w:val="en-US"/>
        </w:rPr>
        <w:t xml:space="preserve">10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Others use dental radiographs to determine the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dental chronological age in living or deceased adult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individuals.</w:t>
      </w:r>
      <w:r w:rsidRPr="00652464">
        <w:rPr>
          <w:rFonts w:ascii="JansonText-Roman" w:hAnsi="JansonText-Roman" w:cs="JansonText-Roman"/>
          <w:sz w:val="12"/>
          <w:szCs w:val="12"/>
          <w:lang w:val="en-US"/>
        </w:rPr>
        <w:t>11,12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Estimation of the age of an adult may also be based on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six characteristics first identified by Gustafson in 1950</w:t>
      </w:r>
      <w:r w:rsidRPr="00652464">
        <w:rPr>
          <w:rFonts w:ascii="JansonText-Roman" w:hAnsi="JansonText-Roman" w:cs="JansonText-Roman"/>
          <w:sz w:val="12"/>
          <w:szCs w:val="12"/>
          <w:lang w:val="en-US"/>
        </w:rPr>
        <w:t xml:space="preserve">13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by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his observation of ground sec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tions of extracted teeth. These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six variables include attrition of the occlusal or i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ncisal surfaces,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 xml:space="preserve">degree of deposition 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of secondary dentin (evaluation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of the size of the pulp chamber and canal), deposition of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apical cementum, attach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ment level of the periodontium,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root resorption, and radicular translucency.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t>In addition, biochemical met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hods that assess the ratios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of levorotatory and dextrorotatory isomers of the long-lived,</w:t>
      </w:r>
    </w:p>
    <w:p w:rsid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sz w:val="20"/>
          <w:szCs w:val="20"/>
          <w:lang w:val="en-US"/>
        </w:rPr>
        <w:lastRenderedPageBreak/>
        <w:t>metabolically stable amino ac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id aspartate have been employed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in both living and deceased 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ubjects to age tissues in which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this substance is found. Through a racemizat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ion process the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L form of aspartic acid is slowly tra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nsformed into its stereoisomer,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which is the D fo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rm of the amino acid. As enamel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and dentin age, levels of the D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form of aspartic acid increase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 xml:space="preserve">in these calcified dental 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structures. These values can be </w:t>
      </w:r>
      <w:r w:rsidRPr="00652464">
        <w:rPr>
          <w:rFonts w:ascii="JansonText-Roman" w:hAnsi="JansonText-Roman" w:cs="JansonText-Roman"/>
          <w:sz w:val="20"/>
          <w:szCs w:val="20"/>
          <w:lang w:val="en-US"/>
        </w:rPr>
        <w:t>measured and related to known levels for age estimation.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</w:pPr>
      <w:r w:rsidRPr="00652464"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  <w:t>DENTAL DNA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Each individual’s unique genetic information is containedwithin the nuclear and mitochondrial deoxyribonucleic acid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(DNA) molecules of their cells. Only identical twins share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 same DNA. Nuclear DNA is transmitted from either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parent, whereas mitochondrial DNA is derived only through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 maternal route. As a unique biological molecule, DNA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offers the forensic scientist a means of positively identifying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an individual when this material can be obtained from tissues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or bodily fluids recovered at a crime scene or from human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remains or other forensic evidence.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 most widely used method for forensic analysis of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DNA material is the restriction fragment length polymorphism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(RFLP) technique. This laboratory procedure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requires that large amounts (</w:t>
      </w:r>
      <w:r>
        <w:rPr>
          <w:rFonts w:ascii="Symbol" w:hAnsi="Symbol" w:cs="Symbol"/>
          <w:color w:val="000000"/>
          <w:sz w:val="20"/>
          <w:szCs w:val="20"/>
        </w:rPr>
        <w:t>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100 ng) of DNA be used in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 analysis. The polymerase chain reaction (PCR) technique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is employed when this cannot be accomplished because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of degradation of the DNA molecule submitted as evidence,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when only small amounts (</w:t>
      </w:r>
      <w:r>
        <w:rPr>
          <w:rFonts w:ascii="Symbol" w:hAnsi="Symbol" w:cs="Symbol"/>
          <w:color w:val="000000"/>
          <w:sz w:val="20"/>
          <w:szCs w:val="20"/>
        </w:rPr>
        <w:t>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100 pg) of DNA are available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for analysis, or when the DNA sample is fragmented.</w:t>
      </w:r>
      <w:r w:rsidRPr="00652464">
        <w:rPr>
          <w:rFonts w:ascii="JansonText-Roman" w:hAnsi="JansonText-Roman" w:cs="JansonText-Roman"/>
          <w:color w:val="000000"/>
          <w:sz w:val="12"/>
          <w:szCs w:val="12"/>
          <w:lang w:val="en-US"/>
        </w:rPr>
        <w:t xml:space="preserve">15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PCR method amplifies the amount of DNA available for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2"/>
          <w:szCs w:val="12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analysis by copying a specific locus of genetic material.</w:t>
      </w:r>
      <w:r w:rsidRPr="00652464">
        <w:rPr>
          <w:rFonts w:ascii="JansonText-Roman" w:hAnsi="JansonText-Roman" w:cs="JansonText-Roman"/>
          <w:color w:val="000000"/>
          <w:sz w:val="12"/>
          <w:szCs w:val="12"/>
          <w:lang w:val="en-US"/>
        </w:rPr>
        <w:t>16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Since only small amounts of DNA evidence need be evaluated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using PCR technology, a positive identification may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still be effected when human remains have been left unburied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for long periods or have been incinerated, or when DNA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trace evidence is obtained from saliva, blood, or fluid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samples.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 calcified and pulp tissues within a tooth often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present the forensic scientist with the most uncontaminated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and protected DNA samples for analysis. Thus,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even small amounts of DNA recovered from these tissues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often may be analyzed using the PCR method when other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means of identification have been lost or degraded as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2"/>
          <w:szCs w:val="12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evidence.</w:t>
      </w:r>
      <w:r w:rsidRPr="00652464">
        <w:rPr>
          <w:rFonts w:ascii="JansonText-Roman" w:hAnsi="JansonText-Roman" w:cs="JansonText-Roman"/>
          <w:color w:val="000000"/>
          <w:sz w:val="12"/>
          <w:szCs w:val="12"/>
          <w:lang w:val="en-US"/>
        </w:rPr>
        <w:t>17,18</w:t>
      </w:r>
      <w:r>
        <w:rPr>
          <w:rFonts w:ascii="JansonText-Roman" w:hAnsi="JansonText-Roman" w:cs="JansonText-Roman"/>
          <w:color w:val="000000"/>
          <w:sz w:val="12"/>
          <w:szCs w:val="12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In addition, the sex of a decedent can be determined</w:t>
      </w:r>
      <w:r>
        <w:rPr>
          <w:rFonts w:ascii="JansonText-Roman" w:hAnsi="JansonText-Roman" w:cs="JansonText-Roman"/>
          <w:color w:val="000000"/>
          <w:sz w:val="12"/>
          <w:szCs w:val="12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through DNA analysis of the sex-linked amelogenin gene.</w:t>
      </w:r>
      <w:r>
        <w:rPr>
          <w:rFonts w:ascii="JansonText-Roman" w:hAnsi="JansonText-Roman" w:cs="JansonText-Roman"/>
          <w:color w:val="000000"/>
          <w:sz w:val="12"/>
          <w:szCs w:val="12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 DNA sample from the victim can be compared directly</w:t>
      </w:r>
      <w:r>
        <w:rPr>
          <w:rFonts w:ascii="JansonText-Roman" w:hAnsi="JansonText-Roman" w:cs="JansonText-Roman"/>
          <w:color w:val="000000"/>
          <w:sz w:val="12"/>
          <w:szCs w:val="12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with one obtained from the clothing or other personal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effects of a putative subject of interest or indirectly with a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sample from the parents or siblings of the individual one is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12"/>
          <w:szCs w:val="12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attempting to identify.</w:t>
      </w:r>
      <w:r w:rsidRPr="00652464">
        <w:rPr>
          <w:rFonts w:ascii="JansonText-Roman" w:hAnsi="JansonText-Roman" w:cs="JansonText-Roman"/>
          <w:color w:val="000000"/>
          <w:sz w:val="12"/>
          <w:szCs w:val="12"/>
          <w:lang w:val="en-US"/>
        </w:rPr>
        <w:t>19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</w:pPr>
      <w:r w:rsidRPr="00652464"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  <w:t>BITE MARKS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When the dentition of a human or animal impresses thesurface of an object during the act of biting, a pattern mark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is often imprinted on that surface (Figure 4-1, </w:t>
      </w:r>
      <w:r w:rsidRPr="00652464">
        <w:rPr>
          <w:rFonts w:ascii="JansonText-Italic" w:hAnsi="JansonText-Italic" w:cs="JansonText-Italic"/>
          <w:i/>
          <w:iCs/>
          <w:color w:val="000000"/>
          <w:sz w:val="20"/>
          <w:szCs w:val="20"/>
          <w:lang w:val="en-US"/>
        </w:rPr>
        <w:t>A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). Like atool mark left as forensic evidence, the pattern left by the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teeth can be evaluated and compared to the dentition thatallegedly caused it (Figure 4-1, </w:t>
      </w:r>
      <w:r w:rsidRPr="00652464">
        <w:rPr>
          <w:rFonts w:ascii="JansonText-Italic" w:hAnsi="JansonText-Italic" w:cs="JansonText-Italic"/>
          <w:i/>
          <w:iCs/>
          <w:color w:val="000000"/>
          <w:sz w:val="20"/>
          <w:szCs w:val="20"/>
          <w:lang w:val="en-US"/>
        </w:rPr>
        <w:t>B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). Whether the bite mark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pattern involves the skin of a victim or suspect or remains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on the surface of an inanimate object, to be probative, it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must have class and individual characteristics consistent with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 mark caused by teeth.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Class characteristics of a bite mark include the size and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shape of the pattern. In most cases this should be consistent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with the dental arch size of the suspected biter (human or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animal) and retain a circular shape consisting of two half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arches (maxilla and mandible) separated by a space (temporomandibularjoint). One arch should be larger in its greatest</w:t>
      </w:r>
    </w:p>
    <w:p w:rsidR="00652464" w:rsidRPr="00652464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652464">
        <w:rPr>
          <w:rFonts w:ascii="JansonText-Roman" w:hAnsi="JansonText-Roman" w:cs="JansonText-Roman"/>
          <w:color w:val="000000"/>
          <w:sz w:val="20"/>
          <w:szCs w:val="20"/>
          <w:lang w:val="en-US"/>
        </w:rPr>
        <w:t>dimension, representing the greater arch length of the</w:t>
      </w:r>
    </w:p>
    <w:p w:rsidR="00652464" w:rsidRPr="00483120" w:rsidRDefault="00652464" w:rsidP="00652464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color w:val="000000"/>
          <w:sz w:val="20"/>
          <w:szCs w:val="20"/>
          <w:lang w:val="en-US"/>
        </w:rPr>
        <w:t>maxilla.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Individual characterist</w:t>
      </w:r>
      <w:r>
        <w:rPr>
          <w:rFonts w:ascii="JansonText-Roman" w:hAnsi="JansonText-Roman" w:cs="JansonText-Roman"/>
          <w:sz w:val="20"/>
          <w:szCs w:val="20"/>
          <w:lang w:val="en-US"/>
        </w:rPr>
        <w:t>ics associated with a bite mark</w:t>
      </w:r>
      <w:r w:rsidRPr="00483120">
        <w:rPr>
          <w:rFonts w:ascii="JansonText-Roman" w:hAnsi="JansonText-Roman" w:cs="JansonText-Roman"/>
          <w:sz w:val="20"/>
          <w:szCs w:val="20"/>
          <w:lang w:val="en-US"/>
        </w:rPr>
        <w:t>involve the patterns routinely made by specific teeth. In the</w:t>
      </w:r>
    </w:p>
    <w:p w:rsid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human dentiti</w:t>
      </w:r>
      <w:r>
        <w:rPr>
          <w:rFonts w:ascii="JansonText-Roman" w:hAnsi="JansonText-Roman" w:cs="JansonText-Roman"/>
          <w:sz w:val="20"/>
          <w:szCs w:val="20"/>
          <w:lang w:val="en-US"/>
        </w:rPr>
        <w:t>on these include the following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Maxillary central incisor—large rectangle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Mandibular incisor and maxillary lateral incisor—small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rectangle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Cuspid—point or triangle (when there is incisal wear)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lastRenderedPageBreak/>
        <w:t>Maxillary cuspid—figure-eight pattern directed buccal to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lingual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Mandibular cuspid—point representing the buccal cusp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Molar—not routinely seen in the patterns left by human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biters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 xml:space="preserve">It is generally accepted 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that no two individuals have an </w:t>
      </w:r>
      <w:r w:rsidRPr="00483120">
        <w:rPr>
          <w:rFonts w:ascii="JansonText-Roman" w:hAnsi="JansonText-Roman" w:cs="JansonText-Roman"/>
          <w:sz w:val="20"/>
          <w:szCs w:val="20"/>
          <w:lang w:val="en-US"/>
        </w:rPr>
        <w:t>identical dentition based on variations in the arrangement,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spacing, size, and shape of sp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ecific teeth and dental arches. </w:t>
      </w:r>
      <w:r w:rsidRPr="00483120">
        <w:rPr>
          <w:rFonts w:ascii="JansonText-Roman" w:hAnsi="JansonText-Roman" w:cs="JansonText-Roman"/>
          <w:sz w:val="20"/>
          <w:szCs w:val="20"/>
          <w:lang w:val="en-US"/>
        </w:rPr>
        <w:t>Currently, however, neither qu</w:t>
      </w:r>
      <w:r>
        <w:rPr>
          <w:rFonts w:ascii="JansonText-Roman" w:hAnsi="JansonText-Roman" w:cs="JansonText-Roman"/>
          <w:sz w:val="20"/>
          <w:szCs w:val="20"/>
          <w:lang w:val="en-US"/>
        </w:rPr>
        <w:t>antitative values nor databases</w:t>
      </w:r>
      <w:r w:rsidRPr="00483120">
        <w:rPr>
          <w:rFonts w:ascii="JansonText-Roman" w:hAnsi="JansonText-Roman" w:cs="JansonText-Roman"/>
          <w:sz w:val="20"/>
          <w:szCs w:val="20"/>
          <w:lang w:val="en-US"/>
        </w:rPr>
        <w:t>have been established for the dentition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that are similar </w:t>
      </w:r>
      <w:r w:rsidRPr="00483120">
        <w:rPr>
          <w:rFonts w:ascii="JansonText-Roman" w:hAnsi="JansonText-Roman" w:cs="JansonText-Roman"/>
          <w:sz w:val="20"/>
          <w:szCs w:val="20"/>
          <w:lang w:val="en-US"/>
        </w:rPr>
        <w:t>to those described for fingerprint and DNA analysis and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comparison. Thus, altho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ugh bite mark evidence has been </w:t>
      </w:r>
      <w:r w:rsidRPr="00483120">
        <w:rPr>
          <w:rFonts w:ascii="JansonText-Roman" w:hAnsi="JansonText-Roman" w:cs="JansonText-Roman"/>
          <w:sz w:val="20"/>
          <w:szCs w:val="20"/>
          <w:lang w:val="en-US"/>
        </w:rPr>
        <w:t>admissible in the federal and state courts of the United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States based on the Frye rule and decisions related to the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483120">
        <w:rPr>
          <w:rFonts w:ascii="JansonText-Roman" w:hAnsi="JansonText-Roman" w:cs="JansonText-Roman"/>
          <w:sz w:val="20"/>
          <w:szCs w:val="20"/>
          <w:lang w:val="en-US"/>
        </w:rPr>
        <w:t>Federal Rules of Evidence,</w:t>
      </w:r>
      <w:r w:rsidRPr="00483120">
        <w:rPr>
          <w:rFonts w:ascii="JansonText-Roman" w:hAnsi="JansonText-Roman" w:cs="JansonText-Roman"/>
          <w:sz w:val="12"/>
          <w:szCs w:val="12"/>
          <w:lang w:val="en-US"/>
        </w:rPr>
        <w:t xml:space="preserve">20,21 </w:t>
      </w:r>
      <w:r w:rsidRPr="00483120">
        <w:rPr>
          <w:rFonts w:ascii="JansonText-Roman" w:hAnsi="JansonText-Roman" w:cs="JansonText-Roman"/>
          <w:sz w:val="20"/>
          <w:szCs w:val="20"/>
          <w:lang w:val="en-US"/>
        </w:rPr>
        <w:t>this evidence is often used in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an exculpatory manner.</w:t>
      </w:r>
    </w:p>
    <w:p w:rsidR="00483120" w:rsidRPr="00483120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 xml:space="preserve">Guidelines have been </w:t>
      </w:r>
      <w:r>
        <w:rPr>
          <w:rFonts w:ascii="JansonText-Roman" w:hAnsi="JansonText-Roman" w:cs="JansonText-Roman"/>
          <w:sz w:val="20"/>
          <w:szCs w:val="20"/>
          <w:lang w:val="en-US"/>
        </w:rPr>
        <w:t>established and are continually</w:t>
      </w:r>
      <w:r w:rsidRPr="00483120">
        <w:rPr>
          <w:rFonts w:ascii="JansonText-Roman" w:hAnsi="JansonText-Roman" w:cs="JansonText-Roman"/>
          <w:sz w:val="20"/>
          <w:szCs w:val="20"/>
          <w:lang w:val="en-US"/>
        </w:rPr>
        <w:t>reviewed and revised to provide the forensic odontologist</w:t>
      </w:r>
    </w:p>
    <w:p w:rsidR="00652464" w:rsidRPr="00652464" w:rsidRDefault="00483120" w:rsidP="00483120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483120">
        <w:rPr>
          <w:rFonts w:ascii="JansonText-Roman" w:hAnsi="JansonText-Roman" w:cs="JansonText-Roman"/>
          <w:sz w:val="20"/>
          <w:szCs w:val="20"/>
          <w:lang w:val="en-US"/>
        </w:rPr>
        <w:t>with evidence gathering and analy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tical procedures to be followed </w:t>
      </w:r>
      <w:r w:rsidRPr="00483120">
        <w:rPr>
          <w:rFonts w:ascii="JansonText-Roman" w:hAnsi="JansonText-Roman" w:cs="JansonText-Roman"/>
          <w:sz w:val="20"/>
          <w:szCs w:val="20"/>
          <w:lang w:val="en-US"/>
        </w:rPr>
        <w:t>to ensure that recovered b</w:t>
      </w:r>
      <w:r>
        <w:rPr>
          <w:rFonts w:ascii="JansonText-Roman" w:hAnsi="JansonText-Roman" w:cs="JansonText-Roman"/>
          <w:sz w:val="20"/>
          <w:szCs w:val="20"/>
          <w:lang w:val="en-US"/>
        </w:rPr>
        <w:t>ite mark evidence is admissible</w:t>
      </w:r>
      <w:r w:rsidRPr="00483120">
        <w:rPr>
          <w:rFonts w:ascii="JansonText-Roman" w:hAnsi="JansonText-Roman" w:cs="JansonText-Roman"/>
          <w:sz w:val="20"/>
          <w:szCs w:val="20"/>
          <w:lang w:val="en-US"/>
        </w:rPr>
        <w:t>in court and supports corroborative evidence in the</w:t>
      </w:r>
      <w:r w:rsidR="002D1CA1">
        <w:rPr>
          <w:rFonts w:ascii="JansonText-Roman" w:hAnsi="JansonText-Roman" w:cs="JansonText-Roman"/>
          <w:sz w:val="20"/>
          <w:szCs w:val="20"/>
          <w:lang w:val="en-US"/>
        </w:rPr>
        <w:t xml:space="preserve"> case</w:t>
      </w:r>
      <w:r w:rsidR="00652464">
        <w:rPr>
          <w:rFonts w:ascii="JansonText-Roman" w:hAnsi="JansonText-Roman" w:cs="JansonText-Roman"/>
          <w:noProof/>
          <w:sz w:val="20"/>
          <w:szCs w:val="20"/>
          <w:lang w:eastAsia="it-IT"/>
        </w:rPr>
        <w:drawing>
          <wp:inline distT="0" distB="0" distL="0" distR="0">
            <wp:extent cx="6120130" cy="236481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6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464" w:rsidRPr="00652464" w:rsidSect="00736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O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ansonText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64"/>
    <w:rsid w:val="002D1CA1"/>
    <w:rsid w:val="00391908"/>
    <w:rsid w:val="00483120"/>
    <w:rsid w:val="00652464"/>
    <w:rsid w:val="007066E6"/>
    <w:rsid w:val="00736352"/>
    <w:rsid w:val="00AA53B2"/>
    <w:rsid w:val="00D1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51527-A287-46C7-B50A-0A502EE0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63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Adele Bianco</cp:lastModifiedBy>
  <cp:revision>2</cp:revision>
  <cp:lastPrinted>2014-03-09T14:29:00Z</cp:lastPrinted>
  <dcterms:created xsi:type="dcterms:W3CDTF">2019-04-01T08:55:00Z</dcterms:created>
  <dcterms:modified xsi:type="dcterms:W3CDTF">2019-04-01T08:55:00Z</dcterms:modified>
</cp:coreProperties>
</file>