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06" w:rsidRDefault="00E82F06" w:rsidP="00E82F06">
      <w:pPr>
        <w:spacing w:after="0" w:line="240" w:lineRule="auto"/>
        <w:jc w:val="both"/>
        <w:rPr>
          <w:rFonts w:asciiTheme="majorHAnsi" w:hAnsiTheme="majorHAnsi" w:cs="Times New Roman"/>
        </w:rPr>
      </w:pPr>
      <w:bookmarkStart w:id="0" w:name="_GoBack"/>
      <w:bookmarkEnd w:id="0"/>
      <w:r>
        <w:rPr>
          <w:rFonts w:asciiTheme="majorHAnsi" w:hAnsiTheme="majorHAnsi" w:cs="Times New Roman"/>
          <w:b/>
        </w:rPr>
        <w:t>ELEMENTI DI TERAPIA VETERINARIA</w:t>
      </w:r>
      <w:r>
        <w:rPr>
          <w:rFonts w:asciiTheme="majorHAnsi" w:hAnsiTheme="majorHAnsi" w:cs="Times New Roman"/>
        </w:rPr>
        <w:t xml:space="preserve"> - </w:t>
      </w:r>
      <w:r>
        <w:rPr>
          <w:rFonts w:asciiTheme="majorHAnsi" w:hAnsiTheme="majorHAnsi" w:cs="Times New Roman"/>
          <w:b/>
        </w:rPr>
        <w:t>CFU:</w:t>
      </w:r>
      <w:r>
        <w:rPr>
          <w:rFonts w:asciiTheme="majorHAnsi" w:hAnsiTheme="majorHAnsi" w:cs="Times New Roman"/>
        </w:rPr>
        <w:t xml:space="preserve"> 2   </w:t>
      </w:r>
    </w:p>
    <w:p w:rsidR="00E82F06" w:rsidRDefault="00E82F06" w:rsidP="00E82F06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Anno e Semestre:</w:t>
      </w:r>
      <w:r>
        <w:rPr>
          <w:rFonts w:asciiTheme="majorHAnsi" w:hAnsiTheme="majorHAnsi" w:cs="Times New Roman"/>
        </w:rPr>
        <w:t xml:space="preserve"> II Anno, I Semestre  </w:t>
      </w:r>
      <w:r>
        <w:rPr>
          <w:rFonts w:asciiTheme="majorHAnsi" w:hAnsiTheme="majorHAnsi" w:cs="Times New Roman"/>
          <w:b/>
        </w:rPr>
        <w:t>A.A. : 2018/2019</w:t>
      </w:r>
    </w:p>
    <w:p w:rsidR="00E82F06" w:rsidRDefault="00E82F06" w:rsidP="00E82F06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E82F06" w:rsidRDefault="00E82F06" w:rsidP="00E82F06">
      <w:pPr>
        <w:spacing w:after="0" w:line="240" w:lineRule="auto"/>
        <w:jc w:val="both"/>
        <w:outlineLvl w:val="6"/>
        <w:rPr>
          <w:rFonts w:asciiTheme="majorHAnsi" w:eastAsia="Times New Roman" w:hAnsiTheme="majorHAnsi"/>
          <w:bCs/>
          <w:iCs/>
        </w:rPr>
      </w:pPr>
      <w:r>
        <w:rPr>
          <w:rFonts w:asciiTheme="majorHAnsi" w:eastAsia="Times New Roman" w:hAnsiTheme="majorHAnsi"/>
          <w:b/>
          <w:bCs/>
          <w:iCs/>
        </w:rPr>
        <w:t>Prof.Antonio Pugliese</w:t>
      </w:r>
      <w:r>
        <w:rPr>
          <w:rFonts w:asciiTheme="majorHAnsi" w:eastAsia="Times New Roman" w:hAnsiTheme="majorHAnsi"/>
          <w:bCs/>
          <w:iCs/>
        </w:rPr>
        <w:t xml:space="preserve">: </w:t>
      </w:r>
      <w:r>
        <w:rPr>
          <w:rFonts w:asciiTheme="majorHAnsi" w:eastAsia="Times New Roman" w:hAnsiTheme="majorHAnsi"/>
          <w:bCs/>
          <w:iCs/>
          <w:sz w:val="20"/>
        </w:rPr>
        <w:t>Professore Ordinario SSD VET/08 Clinica Medica Veterinaria, presso il Dipartimento di Scienze Veterinarie  dell’Università degli Studi Messina.</w:t>
      </w:r>
    </w:p>
    <w:p w:rsidR="00E82F06" w:rsidRDefault="00E82F06" w:rsidP="00E82F06">
      <w:pPr>
        <w:spacing w:after="0" w:line="240" w:lineRule="auto"/>
        <w:jc w:val="both"/>
        <w:outlineLvl w:val="6"/>
        <w:rPr>
          <w:rFonts w:asciiTheme="majorHAnsi" w:hAnsiTheme="majorHAnsi" w:cs="Times New Roman"/>
          <w:b/>
          <w:sz w:val="12"/>
        </w:rPr>
      </w:pPr>
      <w:r>
        <w:rPr>
          <w:rFonts w:asciiTheme="majorHAnsi" w:hAnsiTheme="majorHAnsi" w:cs="Times New Roman"/>
          <w:b/>
          <w:color w:val="000000" w:themeColor="text1"/>
          <w:sz w:val="18"/>
        </w:rPr>
        <w:t xml:space="preserve">E-mail: </w:t>
      </w:r>
      <w:r>
        <w:rPr>
          <w:rFonts w:asciiTheme="majorHAnsi" w:hAnsiTheme="majorHAnsi" w:cs="Times New Roman"/>
          <w:sz w:val="18"/>
        </w:rPr>
        <w:t>apugliese@unime.it</w:t>
      </w:r>
      <w:r>
        <w:rPr>
          <w:rFonts w:asciiTheme="majorHAnsi" w:hAnsiTheme="majorHAnsi" w:cs="Times New Roman"/>
          <w:b/>
          <w:color w:val="000000" w:themeColor="text1"/>
          <w:sz w:val="18"/>
        </w:rPr>
        <w:tab/>
      </w:r>
      <w:r>
        <w:rPr>
          <w:rFonts w:asciiTheme="majorHAnsi" w:hAnsiTheme="majorHAnsi" w:cs="Times New Roman"/>
          <w:b/>
          <w:color w:val="000000" w:themeColor="text1"/>
          <w:sz w:val="18"/>
        </w:rPr>
        <w:tab/>
      </w:r>
      <w:r>
        <w:rPr>
          <w:rFonts w:asciiTheme="majorHAnsi" w:hAnsiTheme="majorHAnsi" w:cs="Times New Roman"/>
          <w:b/>
          <w:color w:val="000000" w:themeColor="text1"/>
          <w:sz w:val="18"/>
        </w:rPr>
        <w:tab/>
      </w:r>
    </w:p>
    <w:p w:rsidR="00E82F06" w:rsidRDefault="00E82F06" w:rsidP="00E82F06">
      <w:pPr>
        <w:spacing w:after="0" w:line="240" w:lineRule="auto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 w:cs="Times New Roman"/>
          <w:b/>
          <w:sz w:val="18"/>
        </w:rPr>
        <w:t xml:space="preserve">Descrizione del modulo: </w:t>
      </w:r>
      <w:r>
        <w:rPr>
          <w:rFonts w:asciiTheme="majorHAnsi" w:hAnsiTheme="majorHAnsi" w:cs="Times New Roman"/>
          <w:sz w:val="18"/>
        </w:rPr>
        <w:t xml:space="preserve">lo studente verrà formato sui principi fondamentali di buona pratica, prudenza ed etica nell’uso del farmaco veterinario. </w:t>
      </w:r>
    </w:p>
    <w:p w:rsidR="00E82F06" w:rsidRDefault="00E82F06" w:rsidP="00E82F06">
      <w:pPr>
        <w:spacing w:after="0" w:line="240" w:lineRule="auto"/>
        <w:jc w:val="both"/>
        <w:rPr>
          <w:rFonts w:asciiTheme="majorHAnsi" w:hAnsiTheme="majorHAnsi"/>
          <w:sz w:val="8"/>
        </w:rPr>
      </w:pPr>
    </w:p>
    <w:p w:rsidR="00E82F06" w:rsidRDefault="00E82F06" w:rsidP="00E82F06">
      <w:pPr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 w:cs="Times New Roman"/>
          <w:b/>
          <w:color w:val="000000" w:themeColor="text1"/>
          <w:sz w:val="18"/>
        </w:rPr>
        <w:t xml:space="preserve">Obiettivi del modulo e Risultati di apprendimento attesi: </w:t>
      </w:r>
      <w:r>
        <w:rPr>
          <w:rFonts w:asciiTheme="majorHAnsi" w:hAnsiTheme="majorHAnsi"/>
          <w:sz w:val="18"/>
        </w:rPr>
        <w:t xml:space="preserve">Partendo dalle conoscenze di chimica, biochimica, fisiologia e farmacologia, il Corso si propone di dare allo studente i principi fondamentali di buona pratica nell’uso dei farmaci nelle specie animali da reddito nel rispetto dell’ambiente e della salute umana. Alla fine del corso lo studente avrà conoscenza dell’effetto farmacologico residuo dell’uso di varie molecole nei prodotti di origine animale, dell’importanza dei tempi di sospensione e dell’impatto su ambiente e salute umana del farmaco veterinario. </w:t>
      </w:r>
    </w:p>
    <w:p w:rsidR="00E82F06" w:rsidRDefault="00E82F06" w:rsidP="00E82F06">
      <w:pPr>
        <w:pStyle w:val="Corpotes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PROGRAMMA DEL MODULO</w:t>
      </w:r>
    </w:p>
    <w:tbl>
      <w:tblPr>
        <w:tblStyle w:val="Grigliatabella"/>
        <w:tblW w:w="0" w:type="auto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4487"/>
        <w:gridCol w:w="4795"/>
      </w:tblGrid>
      <w:tr w:rsidR="00E82F06" w:rsidTr="007F1E85">
        <w:trPr>
          <w:trHeight w:val="2927"/>
          <w:jc w:val="center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2F06" w:rsidRDefault="00E82F06" w:rsidP="007F1E85">
            <w:pPr>
              <w:rPr>
                <w:rFonts w:asciiTheme="majorHAnsi" w:hAnsiTheme="majorHAnsi"/>
                <w:b/>
                <w:color w:val="C00000"/>
                <w:lang w:eastAsia="en-US"/>
              </w:rPr>
            </w:pPr>
            <w:r>
              <w:rPr>
                <w:rFonts w:asciiTheme="majorHAnsi" w:hAnsiTheme="majorHAnsi"/>
                <w:b/>
                <w:color w:val="C00000"/>
                <w:lang w:eastAsia="en-US"/>
              </w:rPr>
              <w:t>Parte generale</w:t>
            </w:r>
          </w:p>
          <w:p w:rsidR="00E82F06" w:rsidRDefault="00E82F06" w:rsidP="007F1E85">
            <w:pPr>
              <w:rPr>
                <w:rFonts w:asciiTheme="majorHAnsi" w:hAnsiTheme="majorHAnsi" w:cstheme="minorBid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 xml:space="preserve">Formulazioni farmaceutiche e vie di somministrazione del medicinale veterinario. </w:t>
            </w:r>
          </w:p>
          <w:p w:rsidR="00E82F06" w:rsidRDefault="00E82F06" w:rsidP="007F1E85">
            <w:pPr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 xml:space="preserve">Concetti di prescrizione dei medicinali, ricette galeniche, officinali e magistrali. </w:t>
            </w:r>
          </w:p>
          <w:p w:rsidR="00E82F06" w:rsidRDefault="00E82F06" w:rsidP="007F1E85">
            <w:pPr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 xml:space="preserve">Concetti di ricettazione nella terapia di massa. </w:t>
            </w:r>
          </w:p>
          <w:p w:rsidR="00E82F06" w:rsidRDefault="00E82F06" w:rsidP="007F1E85">
            <w:pPr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Impatto sull’ambiente, sulla salute umana e rischi derivanti dall’uso improprio del medicinale veterinario, Additivi, presidi medico-chirurgici.</w:t>
            </w:r>
          </w:p>
          <w:p w:rsidR="00E82F06" w:rsidRDefault="00E82F06" w:rsidP="007F1E85">
            <w:pPr>
              <w:pStyle w:val="Titolo2"/>
              <w:spacing w:before="0"/>
              <w:outlineLvl w:val="1"/>
              <w:rPr>
                <w:sz w:val="12"/>
                <w:szCs w:val="22"/>
                <w:lang w:eastAsia="en-US"/>
              </w:rPr>
            </w:pPr>
          </w:p>
          <w:p w:rsidR="00E82F06" w:rsidRDefault="00E82F06" w:rsidP="007F1E85">
            <w:pPr>
              <w:pStyle w:val="Titolo2"/>
              <w:spacing w:before="0"/>
              <w:outlineLvl w:val="1"/>
              <w:rPr>
                <w:color w:val="C00000"/>
                <w:sz w:val="22"/>
                <w:szCs w:val="22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 xml:space="preserve">Parte speciale </w:t>
            </w:r>
          </w:p>
          <w:p w:rsidR="00E82F06" w:rsidRDefault="00E82F06" w:rsidP="007F1E85">
            <w:pPr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i/>
                <w:sz w:val="20"/>
                <w:lang w:eastAsia="en-US"/>
              </w:rPr>
              <w:t>Classi di medicinali e principi per il loro uso</w:t>
            </w:r>
          </w:p>
          <w:p w:rsidR="00E82F06" w:rsidRDefault="00E82F06" w:rsidP="007F1E85">
            <w:pPr>
              <w:tabs>
                <w:tab w:val="left" w:pos="305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Chemioantibiotici e Antibiotico-resistenza</w:t>
            </w:r>
          </w:p>
          <w:p w:rsidR="00E82F06" w:rsidRDefault="00E82F06" w:rsidP="007F1E85">
            <w:pPr>
              <w:tabs>
                <w:tab w:val="left" w:pos="305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Farmaci antiparassitari</w:t>
            </w:r>
          </w:p>
          <w:p w:rsidR="00E82F06" w:rsidRDefault="00E82F06" w:rsidP="007F1E85">
            <w:pPr>
              <w:tabs>
                <w:tab w:val="left" w:pos="305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Antinfiammatori (FANS e corticosteroidi)</w:t>
            </w:r>
          </w:p>
          <w:p w:rsidR="00E82F06" w:rsidRDefault="00E82F06" w:rsidP="007F1E85">
            <w:pPr>
              <w:tabs>
                <w:tab w:val="left" w:pos="305"/>
              </w:tabs>
              <w:rPr>
                <w:rFonts w:asciiTheme="majorHAnsi" w:hAnsiTheme="majorHAnsi" w:cstheme="minorBid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Sedativi-tranquillanti</w:t>
            </w:r>
          </w:p>
        </w:tc>
      </w:tr>
      <w:tr w:rsidR="00E82F06" w:rsidTr="007F1E85">
        <w:trPr>
          <w:trHeight w:val="2911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82F06" w:rsidRDefault="00E82F06" w:rsidP="007F1E85">
            <w:pPr>
              <w:pStyle w:val="Titolo2"/>
              <w:spacing w:before="0"/>
              <w:outlineLvl w:val="1"/>
              <w:rPr>
                <w:color w:val="C00000"/>
                <w:sz w:val="22"/>
                <w:szCs w:val="22"/>
                <w:lang w:eastAsia="en-US"/>
              </w:rPr>
            </w:pPr>
            <w:r>
              <w:rPr>
                <w:color w:val="C00000"/>
                <w:sz w:val="22"/>
                <w:szCs w:val="22"/>
                <w:lang w:eastAsia="en-US"/>
              </w:rPr>
              <w:t>Residui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Definizione, tipologia e classificazione dei residui.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Modalità e Cause della formazione dei residui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Fattori che influenzano la formazione dei residui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Effetti tossici dei residui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Biodisponibilità dei residui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Residui nelle uova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Residui nei prodotti d’acquacoltura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Residui nel miele</w:t>
            </w:r>
          </w:p>
          <w:p w:rsidR="00E82F06" w:rsidRDefault="00E82F06" w:rsidP="007F1E85">
            <w:pPr>
              <w:pStyle w:val="Paragrafoelenco"/>
              <w:numPr>
                <w:ilvl w:val="0"/>
                <w:numId w:val="1"/>
              </w:numPr>
              <w:tabs>
                <w:tab w:val="left" w:pos="284"/>
              </w:tabs>
              <w:ind w:left="279" w:hanging="279"/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Piano nazionale dei residui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 w:cstheme="minorBid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Valutazione del rischio connesso alla presenza di residui di contaminanti e farmaci veterinari nelle derrate alimentari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Trattamenti illeciti (Tireostatici, Steroidi, Beta-agonisti, Lesioni indotte negli animali da carne dai promotori di crescita illeciti)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Verde malachite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Radionuclidi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Metalli pesanti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Insetticidi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/>
                <w:sz w:val="2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•</w:t>
            </w:r>
            <w:r>
              <w:rPr>
                <w:rFonts w:asciiTheme="majorHAnsi" w:hAnsiTheme="majorHAnsi"/>
                <w:sz w:val="20"/>
                <w:lang w:eastAsia="en-US"/>
              </w:rPr>
              <w:tab/>
              <w:t>PCB, PCDF, PCDD</w:t>
            </w:r>
          </w:p>
          <w:p w:rsidR="00E82F06" w:rsidRDefault="00E82F06" w:rsidP="007F1E85">
            <w:pPr>
              <w:tabs>
                <w:tab w:val="left" w:pos="284"/>
              </w:tabs>
              <w:rPr>
                <w:rFonts w:asciiTheme="majorHAnsi" w:hAnsiTheme="majorHAnsi" w:cstheme="minorBidi"/>
                <w:b/>
                <w:color w:val="C00000"/>
                <w:lang w:eastAsia="en-US"/>
              </w:rPr>
            </w:pPr>
            <w:r>
              <w:rPr>
                <w:rFonts w:asciiTheme="majorHAnsi" w:hAnsiTheme="majorHAnsi"/>
                <w:sz w:val="20"/>
                <w:lang w:eastAsia="en-US"/>
              </w:rPr>
              <w:t>AIC  Antibiotico Resistenza</w:t>
            </w:r>
          </w:p>
        </w:tc>
      </w:tr>
    </w:tbl>
    <w:p w:rsidR="00E82F06" w:rsidRDefault="00E82F06" w:rsidP="00E82F06"/>
    <w:p w:rsidR="00CD21C0" w:rsidRDefault="00CD21C0"/>
    <w:sectPr w:rsidR="00CD21C0" w:rsidSect="00CD21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4F5"/>
    <w:multiLevelType w:val="hybridMultilevel"/>
    <w:tmpl w:val="A9524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06"/>
    <w:rsid w:val="007A50A0"/>
    <w:rsid w:val="00AA015C"/>
    <w:rsid w:val="00CD21C0"/>
    <w:rsid w:val="00DE2ABD"/>
    <w:rsid w:val="00E8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2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2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82F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82F0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82F06"/>
    <w:pPr>
      <w:spacing w:after="0" w:line="240" w:lineRule="auto"/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82F06"/>
    <w:pPr>
      <w:spacing w:after="0" w:line="240" w:lineRule="auto"/>
      <w:ind w:firstLine="567"/>
      <w:jc w:val="both"/>
    </w:pPr>
    <w:rPr>
      <w:rFonts w:ascii="Tw Cen MT" w:hAnsi="Tw Cen MT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2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2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82F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82F0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82F06"/>
    <w:pPr>
      <w:spacing w:after="0" w:line="240" w:lineRule="auto"/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82F06"/>
    <w:pPr>
      <w:spacing w:after="0" w:line="240" w:lineRule="auto"/>
      <w:ind w:firstLine="567"/>
      <w:jc w:val="both"/>
    </w:pPr>
    <w:rPr>
      <w:rFonts w:ascii="Tw Cen MT" w:hAnsi="Tw Cen MT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MPugliese</dc:creator>
  <cp:lastModifiedBy>Platì</cp:lastModifiedBy>
  <cp:revision>2</cp:revision>
  <dcterms:created xsi:type="dcterms:W3CDTF">2019-04-04T10:15:00Z</dcterms:created>
  <dcterms:modified xsi:type="dcterms:W3CDTF">2019-04-04T10:15:00Z</dcterms:modified>
</cp:coreProperties>
</file>