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906" w:rsidRPr="00266CDA" w:rsidRDefault="007C6906" w:rsidP="007C6906">
      <w:pPr>
        <w:autoSpaceDE w:val="0"/>
        <w:autoSpaceDN w:val="0"/>
        <w:adjustRightInd w:val="0"/>
        <w:spacing w:after="0" w:line="240" w:lineRule="auto"/>
        <w:rPr>
          <w:rFonts w:ascii="KievitOT-Regular" w:hAnsi="KievitOT-Regular" w:cs="KievitOT-Regular"/>
          <w:color w:val="1A1A80"/>
          <w:sz w:val="82"/>
          <w:szCs w:val="82"/>
          <w:lang w:val="en-US"/>
        </w:rPr>
      </w:pPr>
      <w:r w:rsidRPr="00266CDA">
        <w:rPr>
          <w:rFonts w:ascii="KievitOT-Regular" w:hAnsi="KievitOT-Regular" w:cs="KievitOT-Regular"/>
          <w:color w:val="1A1A80"/>
          <w:sz w:val="82"/>
          <w:szCs w:val="82"/>
          <w:lang w:val="en-US"/>
        </w:rPr>
        <w:t>Introduction to Dental</w:t>
      </w:r>
    </w:p>
    <w:p w:rsidR="003535C3" w:rsidRPr="00266CDA" w:rsidRDefault="007C6906" w:rsidP="007C6906">
      <w:pPr>
        <w:rPr>
          <w:rFonts w:ascii="KievitOT-Regular" w:hAnsi="KievitOT-Regular" w:cs="KievitOT-Regular"/>
          <w:color w:val="1A1A80"/>
          <w:sz w:val="82"/>
          <w:szCs w:val="82"/>
          <w:lang w:val="en-US"/>
        </w:rPr>
      </w:pPr>
      <w:r w:rsidRPr="00266CDA">
        <w:rPr>
          <w:rFonts w:ascii="KievitOT-Regular" w:hAnsi="KievitOT-Regular" w:cs="KievitOT-Regular"/>
          <w:color w:val="1A1A80"/>
          <w:sz w:val="82"/>
          <w:szCs w:val="82"/>
          <w:lang w:val="en-US"/>
        </w:rPr>
        <w:t>Anatomy</w:t>
      </w:r>
    </w:p>
    <w:p w:rsidR="007C6906" w:rsidRPr="007C6906" w:rsidRDefault="007C6906" w:rsidP="007C6906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color w:val="000000"/>
          <w:sz w:val="30"/>
          <w:szCs w:val="30"/>
          <w:lang w:val="en-US"/>
        </w:rPr>
      </w:pPr>
      <w:r w:rsidRPr="007C6906">
        <w:rPr>
          <w:rFonts w:ascii="KievitOT-Bold" w:hAnsi="KievitOT-Bold" w:cs="KievitOT-Bold"/>
          <w:b/>
          <w:bCs/>
          <w:color w:val="000000"/>
          <w:sz w:val="30"/>
          <w:szCs w:val="30"/>
          <w:lang w:val="en-US"/>
        </w:rPr>
        <w:t>Formation of the Dentitions</w:t>
      </w:r>
    </w:p>
    <w:p w:rsidR="007C6906" w:rsidRDefault="007C6906" w:rsidP="007C6906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color w:val="000000"/>
          <w:sz w:val="30"/>
          <w:szCs w:val="30"/>
          <w:lang w:val="en-US"/>
        </w:rPr>
      </w:pPr>
      <w:r w:rsidRPr="007C6906">
        <w:rPr>
          <w:rFonts w:ascii="KievitOT-Bold" w:hAnsi="KievitOT-Bold" w:cs="KievitOT-Bold"/>
          <w:b/>
          <w:bCs/>
          <w:color w:val="000000"/>
          <w:sz w:val="30"/>
          <w:szCs w:val="30"/>
          <w:lang w:val="en-US"/>
        </w:rPr>
        <w:t>(Overview)</w:t>
      </w:r>
    </w:p>
    <w:p w:rsidR="007C6906" w:rsidRDefault="007C6906" w:rsidP="007C6906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color w:val="000000"/>
          <w:sz w:val="30"/>
          <w:szCs w:val="30"/>
          <w:lang w:val="en-US"/>
        </w:rPr>
      </w:pPr>
    </w:p>
    <w:p w:rsidR="007C6906" w:rsidRPr="007C6906" w:rsidRDefault="007C6906" w:rsidP="007C690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7C6906">
        <w:rPr>
          <w:rFonts w:ascii="JansonText-Roman" w:hAnsi="JansonText-Roman" w:cs="JansonText-Roman"/>
          <w:color w:val="000000"/>
          <w:sz w:val="20"/>
          <w:szCs w:val="20"/>
          <w:lang w:val="en-US"/>
        </w:rPr>
        <w:t>Humans have two sets of teeth in their lifetime. The first</w:t>
      </w:r>
      <w:r>
        <w:rPr>
          <w:rFonts w:ascii="KievitOT-Bold" w:hAnsi="KievitOT-Bold" w:cs="KievitOT-Bold"/>
          <w:b/>
          <w:bCs/>
          <w:color w:val="000000"/>
          <w:sz w:val="30"/>
          <w:szCs w:val="30"/>
          <w:lang w:val="en-US"/>
        </w:rPr>
        <w:t xml:space="preserve"> </w:t>
      </w:r>
      <w:r w:rsidRPr="007C6906">
        <w:rPr>
          <w:rFonts w:ascii="JansonText-Roman" w:hAnsi="JansonText-Roman" w:cs="JansonText-Roman"/>
          <w:color w:val="000000"/>
          <w:sz w:val="20"/>
          <w:szCs w:val="20"/>
          <w:lang w:val="en-US"/>
        </w:rPr>
        <w:t xml:space="preserve">set of teeth to be seen in the mouth is the </w:t>
      </w:r>
      <w:r w:rsidRPr="007C6906">
        <w:rPr>
          <w:rFonts w:ascii="OfficinaSansStd-Bold" w:hAnsi="OfficinaSansStd-Bold" w:cs="OfficinaSansStd-Bold"/>
          <w:b/>
          <w:bCs/>
          <w:color w:val="000000"/>
          <w:sz w:val="18"/>
          <w:szCs w:val="18"/>
          <w:lang w:val="en-US"/>
        </w:rPr>
        <w:t xml:space="preserve">primary </w:t>
      </w:r>
      <w:r>
        <w:rPr>
          <w:rFonts w:ascii="JansonText-Roman" w:hAnsi="JansonText-Roman" w:cs="JansonText-Roman"/>
          <w:color w:val="000000"/>
          <w:sz w:val="20"/>
          <w:szCs w:val="20"/>
          <w:lang w:val="en-US"/>
        </w:rPr>
        <w:t xml:space="preserve">or </w:t>
      </w:r>
      <w:r w:rsidRPr="007C6906">
        <w:rPr>
          <w:rFonts w:ascii="OfficinaSansStd-Bold" w:hAnsi="OfficinaSansStd-Bold" w:cs="OfficinaSansStd-Bold"/>
          <w:b/>
          <w:bCs/>
          <w:color w:val="000000"/>
          <w:sz w:val="18"/>
          <w:szCs w:val="18"/>
          <w:lang w:val="en-US"/>
        </w:rPr>
        <w:t>deciduous</w:t>
      </w:r>
      <w:r>
        <w:rPr>
          <w:rFonts w:ascii="KievitOT-Bold" w:hAnsi="KievitOT-Bold" w:cs="KievitOT-Bold"/>
          <w:b/>
          <w:bCs/>
          <w:color w:val="000000"/>
          <w:sz w:val="30"/>
          <w:szCs w:val="30"/>
          <w:lang w:val="en-US"/>
        </w:rPr>
        <w:t xml:space="preserve"> </w:t>
      </w:r>
      <w:r w:rsidRPr="007C6906">
        <w:rPr>
          <w:rFonts w:ascii="JansonText-Roman" w:hAnsi="JansonText-Roman" w:cs="JansonText-Roman"/>
          <w:color w:val="000000"/>
          <w:sz w:val="20"/>
          <w:szCs w:val="20"/>
          <w:lang w:val="en-US"/>
        </w:rPr>
        <w:t>dentition, which begins to form prenatally at about 14</w:t>
      </w:r>
      <w:r>
        <w:rPr>
          <w:rFonts w:ascii="KievitOT-Bold" w:hAnsi="KievitOT-Bold" w:cs="KievitOT-Bold"/>
          <w:b/>
          <w:bCs/>
          <w:color w:val="000000"/>
          <w:sz w:val="30"/>
          <w:szCs w:val="30"/>
          <w:lang w:val="en-US"/>
        </w:rPr>
        <w:t xml:space="preserve"> </w:t>
      </w:r>
      <w:r w:rsidRPr="007C6906">
        <w:rPr>
          <w:rFonts w:ascii="JansonText-Roman" w:hAnsi="JansonText-Roman" w:cs="JansonText-Roman"/>
          <w:color w:val="000000"/>
          <w:sz w:val="20"/>
          <w:szCs w:val="20"/>
          <w:lang w:val="en-US"/>
        </w:rPr>
        <w:t>weeks in utero and is completed postnatally at about 3 years</w:t>
      </w:r>
      <w:r>
        <w:rPr>
          <w:rFonts w:ascii="KievitOT-Bold" w:hAnsi="KievitOT-Bold" w:cs="KievitOT-Bold"/>
          <w:b/>
          <w:bCs/>
          <w:color w:val="000000"/>
          <w:sz w:val="30"/>
          <w:szCs w:val="30"/>
          <w:lang w:val="en-US"/>
        </w:rPr>
        <w:t xml:space="preserve"> </w:t>
      </w:r>
      <w:r w:rsidRPr="007C6906">
        <w:rPr>
          <w:rFonts w:ascii="JansonText-Roman" w:hAnsi="JansonText-Roman" w:cs="JansonText-Roman"/>
          <w:color w:val="000000"/>
          <w:sz w:val="20"/>
          <w:szCs w:val="20"/>
          <w:lang w:val="en-US"/>
        </w:rPr>
        <w:t>of age. In the absence of congenital disorders, dental disease,</w:t>
      </w:r>
      <w:r>
        <w:rPr>
          <w:rFonts w:ascii="KievitOT-Bold" w:hAnsi="KievitOT-Bold" w:cs="KievitOT-Bold"/>
          <w:b/>
          <w:bCs/>
          <w:color w:val="000000"/>
          <w:sz w:val="30"/>
          <w:szCs w:val="30"/>
          <w:lang w:val="en-US"/>
        </w:rPr>
        <w:t xml:space="preserve"> </w:t>
      </w:r>
      <w:r w:rsidRPr="007C6906">
        <w:rPr>
          <w:rFonts w:ascii="JansonText-Roman" w:hAnsi="JansonText-Roman" w:cs="JansonText-Roman"/>
          <w:color w:val="000000"/>
          <w:sz w:val="20"/>
          <w:szCs w:val="20"/>
          <w:lang w:val="en-US"/>
        </w:rPr>
        <w:t>or trauma, the first teeth in this dentition begin to appear</w:t>
      </w:r>
      <w:r>
        <w:rPr>
          <w:rFonts w:ascii="KievitOT-Bold" w:hAnsi="KievitOT-Bold" w:cs="KievitOT-Bold"/>
          <w:b/>
          <w:bCs/>
          <w:color w:val="000000"/>
          <w:sz w:val="30"/>
          <w:szCs w:val="30"/>
          <w:lang w:val="en-US"/>
        </w:rPr>
        <w:t xml:space="preserve"> </w:t>
      </w:r>
      <w:r w:rsidRPr="007C6906">
        <w:rPr>
          <w:rFonts w:ascii="JansonText-Roman" w:hAnsi="JansonText-Roman" w:cs="JansonText-Roman"/>
          <w:color w:val="000000"/>
          <w:sz w:val="20"/>
          <w:szCs w:val="20"/>
          <w:lang w:val="en-US"/>
        </w:rPr>
        <w:t>in the oral cavity at the mean age of 6, and the last emerge</w:t>
      </w:r>
      <w:r>
        <w:rPr>
          <w:rFonts w:ascii="KievitOT-Bold" w:hAnsi="KievitOT-Bold" w:cs="KievitOT-Bold"/>
          <w:b/>
          <w:bCs/>
          <w:color w:val="000000"/>
          <w:sz w:val="30"/>
          <w:szCs w:val="30"/>
          <w:lang w:val="en-US"/>
        </w:rPr>
        <w:t xml:space="preserve"> </w:t>
      </w:r>
      <w:r w:rsidRPr="007C6906">
        <w:rPr>
          <w:rFonts w:ascii="JansonText-Roman" w:hAnsi="JansonText-Roman" w:cs="JansonText-Roman"/>
          <w:color w:val="000000"/>
          <w:sz w:val="20"/>
          <w:szCs w:val="20"/>
          <w:lang w:val="en-US"/>
        </w:rPr>
        <w:t xml:space="preserve">at a mean age of 28 </w:t>
      </w:r>
      <w:r>
        <w:rPr>
          <w:rFonts w:ascii="Symbol" w:hAnsi="Symbol" w:cs="Symbol"/>
          <w:color w:val="000000"/>
          <w:sz w:val="20"/>
          <w:szCs w:val="20"/>
        </w:rPr>
        <w:t></w:t>
      </w:r>
      <w:r>
        <w:rPr>
          <w:rFonts w:ascii="Symbol" w:hAnsi="Symbol" w:cs="Symbol"/>
          <w:color w:val="000000"/>
          <w:sz w:val="20"/>
          <w:szCs w:val="20"/>
        </w:rPr>
        <w:t></w:t>
      </w:r>
      <w:r w:rsidRPr="007C6906">
        <w:rPr>
          <w:rFonts w:ascii="JansonText-Roman" w:hAnsi="JansonText-Roman" w:cs="JansonText-Roman"/>
          <w:color w:val="000000"/>
          <w:sz w:val="20"/>
          <w:szCs w:val="20"/>
          <w:lang w:val="en-US"/>
        </w:rPr>
        <w:t>4 months. The deciduous dentition</w:t>
      </w:r>
      <w:r>
        <w:rPr>
          <w:rFonts w:ascii="JansonText-Roman" w:hAnsi="JansonText-Roman" w:cs="JansonText-Roman"/>
          <w:color w:val="000000"/>
          <w:sz w:val="20"/>
          <w:szCs w:val="20"/>
          <w:lang w:val="en-US"/>
        </w:rPr>
        <w:t xml:space="preserve">  </w:t>
      </w:r>
      <w:r w:rsidRPr="007C6906">
        <w:rPr>
          <w:rFonts w:ascii="JansonText-Roman" w:hAnsi="JansonText-Roman" w:cs="JansonText-Roman"/>
          <w:sz w:val="20"/>
          <w:szCs w:val="20"/>
          <w:lang w:val="en-US"/>
        </w:rPr>
        <w:t>remains intact (barring loss from dental caries or trauma)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7C6906">
        <w:rPr>
          <w:rFonts w:ascii="JansonText-Roman" w:hAnsi="JansonText-Roman" w:cs="JansonText-Roman"/>
          <w:sz w:val="20"/>
          <w:szCs w:val="20"/>
          <w:lang w:val="en-US"/>
        </w:rPr>
        <w:t>until the child is about 6 years of age. At about that time the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7C6906">
        <w:rPr>
          <w:rFonts w:ascii="JansonText-Roman" w:hAnsi="JansonText-Roman" w:cs="JansonText-Roman"/>
          <w:sz w:val="20"/>
          <w:szCs w:val="20"/>
          <w:lang w:val="en-US"/>
        </w:rPr>
        <w:t xml:space="preserve">first </w:t>
      </w:r>
      <w:r w:rsidRPr="007C6906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succedaneous </w:t>
      </w:r>
      <w:r w:rsidRPr="007C6906">
        <w:rPr>
          <w:rFonts w:ascii="JansonText-Roman" w:hAnsi="JansonText-Roman" w:cs="JansonText-Roman"/>
          <w:sz w:val="20"/>
          <w:szCs w:val="20"/>
          <w:lang w:val="en-US"/>
        </w:rPr>
        <w:t xml:space="preserve">or </w:t>
      </w:r>
      <w:r w:rsidRPr="007C6906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permanent 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teeth begin to emerge into </w:t>
      </w:r>
      <w:r w:rsidRPr="007C6906">
        <w:rPr>
          <w:rFonts w:ascii="JansonText-Roman" w:hAnsi="JansonText-Roman" w:cs="JansonText-Roman"/>
          <w:sz w:val="20"/>
          <w:szCs w:val="20"/>
          <w:lang w:val="en-US"/>
        </w:rPr>
        <w:t xml:space="preserve">the mouth. The emergence of these teeth begins the </w:t>
      </w:r>
      <w:r w:rsidRPr="007C6906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>transition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7C6906">
        <w:rPr>
          <w:rFonts w:ascii="JansonText-Roman" w:hAnsi="JansonText-Roman" w:cs="JansonText-Roman"/>
          <w:sz w:val="20"/>
          <w:szCs w:val="20"/>
          <w:lang w:val="en-US"/>
        </w:rPr>
        <w:t xml:space="preserve">or </w:t>
      </w:r>
      <w:r w:rsidRPr="007C6906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mixed dentition period </w:t>
      </w:r>
      <w:r w:rsidRPr="007C6906">
        <w:rPr>
          <w:rFonts w:ascii="JansonText-Roman" w:hAnsi="JansonText-Roman" w:cs="JansonText-Roman"/>
          <w:sz w:val="20"/>
          <w:szCs w:val="20"/>
          <w:lang w:val="en-US"/>
        </w:rPr>
        <w:t>in which there is a mixture of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7C6906">
        <w:rPr>
          <w:rFonts w:ascii="JansonText-Roman" w:hAnsi="JansonText-Roman" w:cs="JansonText-Roman"/>
          <w:sz w:val="20"/>
          <w:szCs w:val="20"/>
          <w:lang w:val="en-US"/>
        </w:rPr>
        <w:t>deciduous and succedaneous teeth present. The transition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7C6906">
        <w:rPr>
          <w:rFonts w:ascii="JansonText-Roman" w:hAnsi="JansonText-Roman" w:cs="JansonText-Roman"/>
          <w:sz w:val="20"/>
          <w:szCs w:val="20"/>
          <w:lang w:val="en-US"/>
        </w:rPr>
        <w:t>period lasts from about 6 to 12 years of age and ends when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7C6906">
        <w:rPr>
          <w:rFonts w:ascii="JansonText-Roman" w:hAnsi="JansonText-Roman" w:cs="JansonText-Roman"/>
          <w:sz w:val="20"/>
          <w:szCs w:val="20"/>
          <w:lang w:val="en-US"/>
        </w:rPr>
        <w:t>all the deciduous teeth have been shed. At that time the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7C6906">
        <w:rPr>
          <w:rFonts w:ascii="JansonText-Roman" w:hAnsi="JansonText-Roman" w:cs="JansonText-Roman"/>
          <w:sz w:val="20"/>
          <w:szCs w:val="20"/>
          <w:lang w:val="en-US"/>
        </w:rPr>
        <w:t>permanent dentition period begins. Thus, the transition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7C6906">
        <w:rPr>
          <w:rFonts w:ascii="JansonText-Roman" w:hAnsi="JansonText-Roman" w:cs="JansonText-Roman"/>
          <w:sz w:val="20"/>
          <w:szCs w:val="20"/>
          <w:lang w:val="en-US"/>
        </w:rPr>
        <w:t>from the primary dentition to the permanent dentition</w:t>
      </w:r>
    </w:p>
    <w:p w:rsidR="007C6906" w:rsidRPr="007C6906" w:rsidRDefault="007C6906" w:rsidP="007C690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7C6906">
        <w:rPr>
          <w:rFonts w:ascii="JansonText-Roman" w:hAnsi="JansonText-Roman" w:cs="JansonText-Roman"/>
          <w:sz w:val="20"/>
          <w:szCs w:val="20"/>
          <w:lang w:val="en-US"/>
        </w:rPr>
        <w:t>begins with the emergence of the first permanent molars,</w:t>
      </w:r>
      <w:r w:rsidR="00074B26"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7C6906">
        <w:rPr>
          <w:rFonts w:ascii="JansonText-Roman" w:hAnsi="JansonText-Roman" w:cs="JansonText-Roman"/>
          <w:sz w:val="20"/>
          <w:szCs w:val="20"/>
          <w:lang w:val="en-US"/>
        </w:rPr>
        <w:t>shedding of the deciduous incisors, and emergence of the</w:t>
      </w:r>
    </w:p>
    <w:p w:rsidR="007C6906" w:rsidRPr="007C6906" w:rsidRDefault="007C6906" w:rsidP="007C690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7C6906">
        <w:rPr>
          <w:rFonts w:ascii="JansonText-Roman" w:hAnsi="JansonText-Roman" w:cs="JansonText-Roman"/>
          <w:sz w:val="20"/>
          <w:szCs w:val="20"/>
          <w:lang w:val="en-US"/>
        </w:rPr>
        <w:t>permanent incisors. The mixed dentition period is often a</w:t>
      </w:r>
      <w:r w:rsidR="00074B26"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7C6906">
        <w:rPr>
          <w:rFonts w:ascii="JansonText-Roman" w:hAnsi="JansonText-Roman" w:cs="JansonText-Roman"/>
          <w:sz w:val="20"/>
          <w:szCs w:val="20"/>
          <w:lang w:val="en-US"/>
        </w:rPr>
        <w:t>difficult time for the young child because of habits, missing</w:t>
      </w:r>
    </w:p>
    <w:p w:rsidR="007C6906" w:rsidRDefault="007C6906" w:rsidP="007C690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7C6906">
        <w:rPr>
          <w:rFonts w:ascii="JansonText-Roman" w:hAnsi="JansonText-Roman" w:cs="JansonText-Roman"/>
          <w:sz w:val="20"/>
          <w:szCs w:val="20"/>
          <w:lang w:val="en-US"/>
        </w:rPr>
        <w:t>teeth, teeth of different colors and hues, crowding of the</w:t>
      </w:r>
      <w:r w:rsidR="00074B26"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teeth, and malposed teeth.</w:t>
      </w:r>
    </w:p>
    <w:p w:rsidR="00074B26" w:rsidRP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074B26">
        <w:rPr>
          <w:rFonts w:ascii="JansonText-Roman" w:hAnsi="JansonText-Roman" w:cs="JansonText-Roman"/>
          <w:sz w:val="20"/>
          <w:szCs w:val="20"/>
          <w:lang w:val="en-US"/>
        </w:rPr>
        <w:t>After the shedding of th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e deciduous canines and molars,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emergence of the permanent canines and premolars, and</w:t>
      </w:r>
    </w:p>
    <w:p w:rsidR="00074B26" w:rsidRP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074B26">
        <w:rPr>
          <w:rFonts w:ascii="JansonText-Roman" w:hAnsi="JansonText-Roman" w:cs="JansonText-Roman"/>
          <w:sz w:val="20"/>
          <w:szCs w:val="20"/>
          <w:lang w:val="en-US"/>
        </w:rPr>
        <w:t xml:space="preserve">emergence of the second 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permanent molars, the permanent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dentition is completed (including the roots) at about 14 to</w:t>
      </w:r>
    </w:p>
    <w:p w:rsidR="00074B26" w:rsidRP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074B26">
        <w:rPr>
          <w:rFonts w:ascii="JansonText-Roman" w:hAnsi="JansonText-Roman" w:cs="JansonText-Roman"/>
          <w:sz w:val="20"/>
          <w:szCs w:val="20"/>
          <w:lang w:val="en-US"/>
        </w:rPr>
        <w:t>15 years of age, except for the th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ird molars, which are completed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at 18 to 25 years of age. In effect, the duration of the</w:t>
      </w:r>
    </w:p>
    <w:p w:rsid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074B26">
        <w:rPr>
          <w:rFonts w:ascii="JansonText-Roman" w:hAnsi="JansonText-Roman" w:cs="JansonText-Roman"/>
          <w:sz w:val="20"/>
          <w:szCs w:val="20"/>
          <w:lang w:val="en-US"/>
        </w:rPr>
        <w:t>permanent dentition period is 12</w:t>
      </w:r>
      <w:r>
        <w:rPr>
          <w:rFonts w:ascii="Symbol" w:hAnsi="Symbol" w:cs="Symbol"/>
          <w:sz w:val="20"/>
          <w:szCs w:val="20"/>
        </w:rPr>
        <w:t></w:t>
      </w:r>
      <w:r>
        <w:rPr>
          <w:rFonts w:ascii="Symbol" w:hAnsi="Symbol" w:cs="Symbol"/>
          <w:sz w:val="20"/>
          <w:szCs w:val="20"/>
        </w:rPr>
        <w:t>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years. The completed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permanent dentition consists of 32 teeth if none are congenitally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missing, which may be the case.</w:t>
      </w:r>
    </w:p>
    <w:p w:rsid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</w:p>
    <w:p w:rsidR="00074B26" w:rsidRP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sz w:val="30"/>
          <w:szCs w:val="30"/>
          <w:lang w:val="en-US"/>
        </w:rPr>
      </w:pPr>
      <w:r w:rsidRPr="00074B26">
        <w:rPr>
          <w:rFonts w:ascii="KievitOT-Bold" w:hAnsi="KievitOT-Bold" w:cs="KievitOT-Bold"/>
          <w:b/>
          <w:bCs/>
          <w:sz w:val="30"/>
          <w:szCs w:val="30"/>
          <w:lang w:val="en-US"/>
        </w:rPr>
        <w:t>Nomenclature</w:t>
      </w:r>
    </w:p>
    <w:p w:rsidR="00074B26" w:rsidRP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074B26">
        <w:rPr>
          <w:rFonts w:ascii="JansonText-Roman" w:hAnsi="JansonText-Roman" w:cs="JansonText-Roman"/>
          <w:sz w:val="20"/>
          <w:szCs w:val="20"/>
          <w:lang w:val="en-US"/>
        </w:rPr>
        <w:t>The first step in understan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ding dental anatomy is to learn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the nomenclature, or the system of names, used to describe</w:t>
      </w:r>
    </w:p>
    <w:p w:rsidR="00074B26" w:rsidRP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074B26">
        <w:rPr>
          <w:rFonts w:ascii="JansonText-Roman" w:hAnsi="JansonText-Roman" w:cs="JansonText-Roman"/>
          <w:sz w:val="20"/>
          <w:szCs w:val="20"/>
          <w:lang w:val="en-US"/>
        </w:rPr>
        <w:t xml:space="preserve">or classify the material included in 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the subject. When a significant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term is used for the fi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rst time here, it is emphasized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in bold. Additional terms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will be discussed as needed in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subsequent chapters.</w:t>
      </w:r>
    </w:p>
    <w:p w:rsidR="00074B26" w:rsidRP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074B26">
        <w:rPr>
          <w:rFonts w:ascii="JansonText-Roman" w:hAnsi="JansonText-Roman" w:cs="JansonText-Roman"/>
          <w:sz w:val="20"/>
          <w:szCs w:val="20"/>
          <w:lang w:val="en-US"/>
        </w:rPr>
        <w:t xml:space="preserve">The term </w:t>
      </w:r>
      <w:r w:rsidRPr="00074B26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mandibular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refers to the lower jaw, or mandible.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 xml:space="preserve">The term </w:t>
      </w:r>
      <w:r w:rsidRPr="00074B26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maxillary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refers to the upper jaw, or maxilla. When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more than one name is used in the literature to describe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something, the two most commonly used names will be used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initially. After that they may be combined or used separately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as consistent with the literature of a particular specialty of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 xml:space="preserve">dentistry, for example, </w:t>
      </w:r>
      <w:r w:rsidRPr="00074B26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primary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 xml:space="preserve">or </w:t>
      </w:r>
      <w:r w:rsidRPr="00074B26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>deciduous dentition, permanent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 xml:space="preserve">or </w:t>
      </w:r>
      <w:r w:rsidRPr="00074B26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succedaneous dentition. 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A good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case may be made for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the use of both terms. By dictionary definition,</w:t>
      </w:r>
      <w:r w:rsidRPr="00074B26">
        <w:rPr>
          <w:rFonts w:ascii="JansonText-Roman" w:hAnsi="JansonText-Roman" w:cs="JansonText-Roman"/>
          <w:sz w:val="12"/>
          <w:szCs w:val="12"/>
          <w:lang w:val="en-US"/>
        </w:rPr>
        <w:t xml:space="preserve">1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the term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Italic" w:hAnsi="JansonText-Italic" w:cs="JansonText-Italic"/>
          <w:i/>
          <w:iCs/>
          <w:sz w:val="20"/>
          <w:szCs w:val="20"/>
          <w:lang w:val="en-US"/>
        </w:rPr>
        <w:t xml:space="preserve">primary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can mean “constituting or belonging to the first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 xml:space="preserve">stage in any process.” The term </w:t>
      </w:r>
      <w:r w:rsidRPr="00074B26">
        <w:rPr>
          <w:rFonts w:ascii="JansonText-Italic" w:hAnsi="JansonText-Italic" w:cs="JansonText-Italic"/>
          <w:i/>
          <w:iCs/>
          <w:sz w:val="20"/>
          <w:szCs w:val="20"/>
          <w:lang w:val="en-US"/>
        </w:rPr>
        <w:t xml:space="preserve">deciduous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can mean “not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permanent, transitory.” The same unabridged dictionary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 xml:space="preserve">refers the reader from the definition of </w:t>
      </w:r>
      <w:r w:rsidRPr="00074B26">
        <w:rPr>
          <w:rFonts w:ascii="JansonText-Italic" w:hAnsi="JansonText-Italic" w:cs="JansonText-Italic"/>
          <w:i/>
          <w:iCs/>
          <w:sz w:val="20"/>
          <w:szCs w:val="20"/>
          <w:lang w:val="en-US"/>
        </w:rPr>
        <w:t xml:space="preserve">deciduous tooth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 xml:space="preserve">to </w:t>
      </w:r>
      <w:r w:rsidRPr="00074B26">
        <w:rPr>
          <w:rFonts w:ascii="JansonText-Italic" w:hAnsi="JansonText-Italic" w:cs="JansonText-Italic"/>
          <w:i/>
          <w:iCs/>
          <w:sz w:val="20"/>
          <w:szCs w:val="20"/>
          <w:lang w:val="en-US"/>
        </w:rPr>
        <w:t>milk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Italic" w:hAnsi="JansonText-Italic" w:cs="JansonText-Italic"/>
          <w:i/>
          <w:iCs/>
          <w:sz w:val="20"/>
          <w:szCs w:val="20"/>
          <w:lang w:val="en-US"/>
        </w:rPr>
        <w:t xml:space="preserve">tooth,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which is defined as “one of the temporary teeth of a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mammal that are replaced by permanent teeth. Also called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Italic" w:hAnsi="JansonText-Italic" w:cs="JansonText-Italic"/>
          <w:i/>
          <w:iCs/>
          <w:sz w:val="20"/>
          <w:szCs w:val="20"/>
          <w:lang w:val="en-US"/>
        </w:rPr>
        <w:t>baby tooth, deciduous tooth.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 xml:space="preserve">” The term </w:t>
      </w:r>
      <w:r w:rsidRPr="00074B26">
        <w:rPr>
          <w:rFonts w:ascii="JansonText-Italic" w:hAnsi="JansonText-Italic" w:cs="JansonText-Italic"/>
          <w:i/>
          <w:iCs/>
          <w:sz w:val="20"/>
          <w:szCs w:val="20"/>
          <w:lang w:val="en-US"/>
        </w:rPr>
        <w:t xml:space="preserve">primary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can indicate a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 xml:space="preserve">first dentition and the term </w:t>
      </w:r>
      <w:r w:rsidRPr="00074B26">
        <w:rPr>
          <w:rFonts w:ascii="JansonText-Italic" w:hAnsi="JansonText-Italic" w:cs="JansonText-Italic"/>
          <w:i/>
          <w:iCs/>
          <w:sz w:val="20"/>
          <w:szCs w:val="20"/>
          <w:lang w:val="en-US"/>
        </w:rPr>
        <w:t xml:space="preserve">deciduous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can indicate that the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first dentition is not permanent, but not unimportant. The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 xml:space="preserve">term </w:t>
      </w:r>
      <w:r w:rsidRPr="00074B26">
        <w:rPr>
          <w:rFonts w:ascii="JansonText-Italic" w:hAnsi="JansonText-Italic" w:cs="JansonText-Italic"/>
          <w:i/>
          <w:iCs/>
          <w:sz w:val="20"/>
          <w:szCs w:val="20"/>
          <w:lang w:val="en-US"/>
        </w:rPr>
        <w:t xml:space="preserve">succedaneous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can be used to describe a successor dentition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and does not suggest permanence, whereas the term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Italic" w:hAnsi="JansonText-Italic" w:cs="JansonText-Italic"/>
          <w:i/>
          <w:iCs/>
          <w:sz w:val="20"/>
          <w:szCs w:val="20"/>
          <w:lang w:val="en-US"/>
        </w:rPr>
        <w:t xml:space="preserve">permanent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suggests a permanent dentition, which may not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be the case due to dental caries, periodontal diseases, and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trauma. All four of these descriptive terms appear in theprofessional literature.</w:t>
      </w:r>
    </w:p>
    <w:p w:rsid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sz w:val="30"/>
          <w:szCs w:val="30"/>
          <w:lang w:val="en-US"/>
        </w:rPr>
      </w:pPr>
    </w:p>
    <w:p w:rsidR="00074B26" w:rsidRP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sz w:val="30"/>
          <w:szCs w:val="30"/>
          <w:lang w:val="en-US"/>
        </w:rPr>
      </w:pPr>
      <w:r w:rsidRPr="00074B26">
        <w:rPr>
          <w:rFonts w:ascii="KievitOT-Bold" w:hAnsi="KievitOT-Bold" w:cs="KievitOT-Bold"/>
          <w:b/>
          <w:bCs/>
          <w:sz w:val="30"/>
          <w:szCs w:val="30"/>
          <w:lang w:val="en-US"/>
        </w:rPr>
        <w:t>Formulae for Mammalian Teeth</w:t>
      </w:r>
    </w:p>
    <w:p w:rsidR="00074B26" w:rsidRP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074B26">
        <w:rPr>
          <w:rFonts w:ascii="JansonText-Roman" w:hAnsi="JansonText-Roman" w:cs="JansonText-Roman"/>
          <w:sz w:val="20"/>
          <w:szCs w:val="20"/>
          <w:lang w:val="en-US"/>
        </w:rPr>
        <w:t>The denomination and nu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mber of all mammalian teeth are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expressed by formulae that are used to differentiate the</w:t>
      </w:r>
    </w:p>
    <w:p w:rsidR="00074B26" w:rsidRP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074B26">
        <w:rPr>
          <w:rFonts w:ascii="JansonText-Roman" w:hAnsi="JansonText-Roman" w:cs="JansonText-Roman"/>
          <w:sz w:val="20"/>
          <w:szCs w:val="20"/>
          <w:lang w:val="en-US"/>
        </w:rPr>
        <w:t xml:space="preserve">human dentitions from those of 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other species. The denomination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of each tooth is often represented by the initial letter</w:t>
      </w:r>
    </w:p>
    <w:p w:rsidR="00074B26" w:rsidRP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074B26">
        <w:rPr>
          <w:rFonts w:ascii="JansonText-Roman" w:hAnsi="JansonText-Roman" w:cs="JansonText-Roman"/>
          <w:sz w:val="20"/>
          <w:szCs w:val="20"/>
          <w:lang w:val="en-US"/>
        </w:rPr>
        <w:t>in its name (e.g., I for incisor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, C for canine, P for premolar,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M for molar). Each letter is followed by a horizontal line</w:t>
      </w:r>
    </w:p>
    <w:p w:rsidR="00074B26" w:rsidRP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074B26">
        <w:rPr>
          <w:rFonts w:ascii="JansonText-Roman" w:hAnsi="JansonText-Roman" w:cs="JansonText-Roman"/>
          <w:sz w:val="20"/>
          <w:szCs w:val="20"/>
          <w:lang w:val="en-US"/>
        </w:rPr>
        <w:t>and the number of each ty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pe of tooth is placed above the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line for the maxilla (upper jaw) and below the line for the</w:t>
      </w:r>
    </w:p>
    <w:p w:rsidR="00074B26" w:rsidRP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074B26">
        <w:rPr>
          <w:rFonts w:ascii="JansonText-Roman" w:hAnsi="JansonText-Roman" w:cs="JansonText-Roman"/>
          <w:sz w:val="20"/>
          <w:szCs w:val="20"/>
          <w:lang w:val="en-US"/>
        </w:rPr>
        <w:t xml:space="preserve">mandible (lower jaw). The 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formulae include one side only,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with the number of teeth in each jaw being the same for</w:t>
      </w:r>
    </w:p>
    <w:p w:rsidR="00074B26" w:rsidRP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074B26">
        <w:rPr>
          <w:rFonts w:ascii="JansonText-Roman" w:hAnsi="JansonText-Roman" w:cs="JansonText-Roman"/>
          <w:sz w:val="20"/>
          <w:szCs w:val="20"/>
          <w:lang w:val="en-US"/>
        </w:rPr>
        <w:t>humans.</w:t>
      </w:r>
    </w:p>
    <w:p w:rsidR="00074B26" w:rsidRP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074B26">
        <w:rPr>
          <w:rFonts w:ascii="JansonText-Roman" w:hAnsi="JansonText-Roman" w:cs="JansonText-Roman"/>
          <w:sz w:val="20"/>
          <w:szCs w:val="20"/>
          <w:lang w:val="en-US"/>
        </w:rPr>
        <w:t>The dental formula for the primary/deciduous teeth in</w:t>
      </w:r>
    </w:p>
    <w:p w:rsid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074B26">
        <w:rPr>
          <w:rFonts w:ascii="JansonText-Roman" w:hAnsi="JansonText-Roman" w:cs="JansonText-Roman"/>
          <w:sz w:val="20"/>
          <w:szCs w:val="20"/>
          <w:lang w:val="en-US"/>
        </w:rPr>
        <w:t>humans is as follows:</w:t>
      </w:r>
    </w:p>
    <w:p w:rsid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</w:p>
    <w:p w:rsidR="00074B26" w:rsidRP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>
        <w:rPr>
          <w:rFonts w:ascii="JansonText-Roman" w:hAnsi="JansonText-Roman" w:cs="JansonText-Roman"/>
          <w:noProof/>
          <w:sz w:val="20"/>
          <w:szCs w:val="20"/>
          <w:lang w:eastAsia="it-IT"/>
        </w:rPr>
        <w:lastRenderedPageBreak/>
        <w:drawing>
          <wp:inline distT="0" distB="0" distL="0" distR="0">
            <wp:extent cx="952500" cy="381000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B26" w:rsidRP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074B26">
        <w:rPr>
          <w:rFonts w:ascii="JansonText-Roman" w:hAnsi="JansonText-Roman" w:cs="JansonText-Roman"/>
          <w:sz w:val="20"/>
          <w:szCs w:val="20"/>
          <w:lang w:val="en-US"/>
        </w:rPr>
        <w:t>This formula should be r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ead as: incisors, two maxillary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and two mandibular; canines, on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e maxillary and one mandibular;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molars, two maxillary and two mandibular—or 10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 xml:space="preserve">altogether on one side, right or left (Figure 1-2, </w:t>
      </w:r>
      <w:r w:rsidRPr="00074B26">
        <w:rPr>
          <w:rFonts w:ascii="JansonText-Italic" w:hAnsi="JansonText-Italic" w:cs="JansonText-Italic"/>
          <w:i/>
          <w:iCs/>
          <w:sz w:val="20"/>
          <w:szCs w:val="20"/>
          <w:lang w:val="en-US"/>
        </w:rPr>
        <w:t>A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).</w:t>
      </w:r>
    </w:p>
    <w:p w:rsidR="00074B26" w:rsidRP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074B26">
        <w:rPr>
          <w:rFonts w:ascii="JansonText-Roman" w:hAnsi="JansonText-Roman" w:cs="JansonText-Roman"/>
          <w:sz w:val="20"/>
          <w:szCs w:val="20"/>
          <w:lang w:val="en-US"/>
        </w:rPr>
        <w:t>A dental formula for t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he permanent human dentition is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as follows:</w:t>
      </w:r>
    </w:p>
    <w:p w:rsid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</w:p>
    <w:p w:rsid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>
        <w:rPr>
          <w:rFonts w:ascii="JansonText-Roman" w:hAnsi="JansonText-Roman" w:cs="JansonText-Roman"/>
          <w:noProof/>
          <w:sz w:val="20"/>
          <w:szCs w:val="20"/>
          <w:lang w:eastAsia="it-IT"/>
        </w:rPr>
        <w:drawing>
          <wp:inline distT="0" distB="0" distL="0" distR="0">
            <wp:extent cx="1285875" cy="400050"/>
            <wp:effectExtent l="19050" t="0" r="952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</w:p>
    <w:p w:rsidR="00074B26" w:rsidRP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074B26">
        <w:rPr>
          <w:rFonts w:ascii="JansonText-Roman" w:hAnsi="JansonText-Roman" w:cs="JansonText-Roman"/>
          <w:sz w:val="20"/>
          <w:szCs w:val="20"/>
          <w:lang w:val="en-US"/>
        </w:rPr>
        <w:t>Premolars have now been added to the formula, twomaxillary and two mandibular, and a third molar has been</w:t>
      </w:r>
    </w:p>
    <w:p w:rsidR="00074B26" w:rsidRP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074B26">
        <w:rPr>
          <w:rFonts w:ascii="JansonText-Roman" w:hAnsi="JansonText-Roman" w:cs="JansonText-Roman"/>
          <w:sz w:val="20"/>
          <w:szCs w:val="20"/>
          <w:lang w:val="en-US"/>
        </w:rPr>
        <w:t xml:space="preserve">added, one maxillary and one mandibular (Figure 1-2, </w:t>
      </w:r>
      <w:r w:rsidRPr="00074B26">
        <w:rPr>
          <w:rFonts w:ascii="JansonText-Italic" w:hAnsi="JansonText-Italic" w:cs="JansonText-Italic"/>
          <w:i/>
          <w:iCs/>
          <w:sz w:val="20"/>
          <w:szCs w:val="20"/>
          <w:lang w:val="en-US"/>
        </w:rPr>
        <w:t>B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).Systems for scoring key morphological traits of the permanent</w:t>
      </w:r>
    </w:p>
    <w:p w:rsidR="00074B26" w:rsidRDefault="00074B26" w:rsidP="00266CDA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sz w:val="30"/>
          <w:szCs w:val="30"/>
          <w:lang w:val="en-US"/>
        </w:rPr>
      </w:pPr>
      <w:r w:rsidRPr="00074B26">
        <w:rPr>
          <w:rFonts w:ascii="JansonText-Roman" w:hAnsi="JansonText-Roman" w:cs="JansonText-Roman"/>
          <w:sz w:val="20"/>
          <w:szCs w:val="20"/>
          <w:lang w:val="en-US"/>
        </w:rPr>
        <w:t>dentition that are u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sed for anthropological studies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 xml:space="preserve">are not described here. </w:t>
      </w:r>
    </w:p>
    <w:p w:rsidR="00266CDA" w:rsidRDefault="00266CDA" w:rsidP="00074B26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sz w:val="30"/>
          <w:szCs w:val="30"/>
          <w:lang w:val="en-US"/>
        </w:rPr>
      </w:pPr>
    </w:p>
    <w:p w:rsidR="00266CDA" w:rsidRDefault="00266CDA" w:rsidP="00074B26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sz w:val="30"/>
          <w:szCs w:val="30"/>
          <w:lang w:val="en-US"/>
        </w:rPr>
      </w:pPr>
    </w:p>
    <w:p w:rsidR="00074B26" w:rsidRP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sz w:val="30"/>
          <w:szCs w:val="30"/>
          <w:lang w:val="en-US"/>
        </w:rPr>
      </w:pPr>
      <w:r w:rsidRPr="00074B26">
        <w:rPr>
          <w:rFonts w:ascii="KievitOT-Bold" w:hAnsi="KievitOT-Bold" w:cs="KievitOT-Bold"/>
          <w:b/>
          <w:bCs/>
          <w:sz w:val="30"/>
          <w:szCs w:val="30"/>
          <w:lang w:val="en-US"/>
        </w:rPr>
        <w:t>Tooth Numbering Systems</w:t>
      </w:r>
    </w:p>
    <w:p w:rsidR="00074B26" w:rsidRP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074B26">
        <w:rPr>
          <w:rFonts w:ascii="JansonText-Roman" w:hAnsi="JansonText-Roman" w:cs="JansonText-Roman"/>
          <w:sz w:val="20"/>
          <w:szCs w:val="20"/>
          <w:lang w:val="en-US"/>
        </w:rPr>
        <w:t>In clinical practice some “shorthand”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system of tooth notation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is necessary for recording data. There are several</w:t>
      </w:r>
    </w:p>
    <w:p w:rsidR="00074B26" w:rsidRP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074B26">
        <w:rPr>
          <w:rFonts w:ascii="JansonText-Roman" w:hAnsi="JansonText-Roman" w:cs="JansonText-Roman"/>
          <w:sz w:val="20"/>
          <w:szCs w:val="20"/>
          <w:lang w:val="en-US"/>
        </w:rPr>
        <w:t>systems in use in the world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, but only a few are considered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 xml:space="preserve">here. In 1947 a committee of 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the American Dental Association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(ADA) recommended the symbolic (Zsigmondy/Palmer)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system as the numbering method of choice.</w:t>
      </w:r>
      <w:r w:rsidRPr="00074B26">
        <w:rPr>
          <w:rFonts w:ascii="JansonText-Roman" w:hAnsi="JansonText-Roman" w:cs="JansonText-Roman"/>
          <w:sz w:val="12"/>
          <w:szCs w:val="12"/>
          <w:lang w:val="en-US"/>
        </w:rPr>
        <w:t xml:space="preserve">3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However,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because of difficulties with keyboard notation of the symbolic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notation system, the ADA in 1968 officially recommended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the “universal” numbering system. Because of some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limitations and lack of widespread use internationally, recommendations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for a change sometimes are made.</w:t>
      </w:r>
      <w:r w:rsidRPr="00074B26">
        <w:rPr>
          <w:rFonts w:ascii="JansonText-Roman" w:hAnsi="JansonText-Roman" w:cs="JansonText-Roman"/>
          <w:sz w:val="12"/>
          <w:szCs w:val="12"/>
          <w:lang w:val="en-US"/>
        </w:rPr>
        <w:t>4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 xml:space="preserve">The </w:t>
      </w:r>
      <w:r w:rsidRPr="00074B26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universal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system of notation for the primary dentition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uses uppercase letters for each of the primary teeth: For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the maxillary teeth, beginning with the right second molar,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letters A through J, and for the mandibular teeth, letters K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through T, beginning with the left mandibular second</w:t>
      </w:r>
    </w:p>
    <w:p w:rsid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074B26">
        <w:rPr>
          <w:rFonts w:ascii="JansonText-Roman" w:hAnsi="JansonText-Roman" w:cs="JansonText-Roman"/>
          <w:sz w:val="20"/>
          <w:szCs w:val="20"/>
          <w:lang w:val="en-US"/>
        </w:rPr>
        <w:t xml:space="preserve">molar. The universal system 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notation for the entire primary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dentition is as follows:</w:t>
      </w:r>
    </w:p>
    <w:p w:rsidR="006201E1" w:rsidRDefault="006201E1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</w:p>
    <w:p w:rsid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>
        <w:rPr>
          <w:rFonts w:ascii="JansonText-Roman" w:hAnsi="JansonText-Roman" w:cs="JansonText-Roman"/>
          <w:noProof/>
          <w:sz w:val="20"/>
          <w:szCs w:val="20"/>
          <w:lang w:eastAsia="it-IT"/>
        </w:rPr>
        <w:drawing>
          <wp:inline distT="0" distB="0" distL="0" distR="0">
            <wp:extent cx="2581275" cy="752475"/>
            <wp:effectExtent l="19050" t="0" r="9525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B26" w:rsidRP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</w:p>
    <w:p w:rsidR="00074B26" w:rsidRP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074B26">
        <w:rPr>
          <w:rFonts w:ascii="JansonText-Roman" w:hAnsi="JansonText-Roman" w:cs="JansonText-Roman"/>
          <w:sz w:val="20"/>
          <w:szCs w:val="20"/>
          <w:lang w:val="en-US"/>
        </w:rPr>
        <w:t xml:space="preserve">The </w:t>
      </w:r>
      <w:r w:rsidRPr="00074B26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symbolic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system for the permanent dentition was</w:t>
      </w:r>
      <w:r w:rsidR="006201E1"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074B26">
        <w:rPr>
          <w:rFonts w:ascii="JansonText-Roman" w:hAnsi="JansonText-Roman" w:cs="JansonText-Roman"/>
          <w:sz w:val="20"/>
          <w:szCs w:val="20"/>
          <w:lang w:val="en-US"/>
        </w:rPr>
        <w:t>introduced by Adolph Zsigmondy of Vienna in 1861</w:t>
      </w:r>
    </w:p>
    <w:p w:rsidR="00074B26" w:rsidRPr="00074B26" w:rsidRDefault="00074B26" w:rsidP="00074B26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074B26">
        <w:rPr>
          <w:rFonts w:ascii="JansonText-Roman" w:hAnsi="JansonText-Roman" w:cs="JansonText-Roman"/>
          <w:sz w:val="20"/>
          <w:szCs w:val="20"/>
          <w:lang w:val="en-US"/>
        </w:rPr>
        <w:t>and then modified for the primary dentition in 1874.</w:t>
      </w:r>
    </w:p>
    <w:p w:rsidR="007C6906" w:rsidRDefault="007C6906" w:rsidP="007C6906">
      <w:pPr>
        <w:rPr>
          <w:rFonts w:ascii="KievitOT-Medium" w:eastAsia="KievitOT-Medium" w:hAnsi="KievitOT-Bold" w:cs="KievitOT-Medium"/>
          <w:color w:val="FFFFFF"/>
          <w:sz w:val="86"/>
          <w:szCs w:val="86"/>
          <w:lang w:val="en-US"/>
        </w:rPr>
      </w:pPr>
      <w:r w:rsidRPr="007C6906">
        <w:rPr>
          <w:rFonts w:ascii="KievitOT-Medium" w:eastAsia="KievitOT-Medium" w:hAnsi="KievitOT-Bold" w:cs="KievitOT-Medium"/>
          <w:color w:val="FFFFFF"/>
          <w:sz w:val="86"/>
          <w:szCs w:val="86"/>
          <w:lang w:val="en-US"/>
        </w:rPr>
        <w:t>1</w:t>
      </w:r>
      <w:r w:rsidR="006201E1">
        <w:rPr>
          <w:rFonts w:ascii="KievitOT-Medium" w:eastAsia="KievitOT-Medium" w:hAnsi="KievitOT-Bold" w:cs="KievitOT-Medium"/>
          <w:noProof/>
          <w:color w:val="FFFFFF"/>
          <w:sz w:val="86"/>
          <w:szCs w:val="86"/>
          <w:lang w:eastAsia="it-IT"/>
        </w:rPr>
        <w:drawing>
          <wp:inline distT="0" distB="0" distL="0" distR="0">
            <wp:extent cx="4448175" cy="3143250"/>
            <wp:effectExtent l="19050" t="0" r="9525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1E1" w:rsidRDefault="006201E1" w:rsidP="007C6906">
      <w:pPr>
        <w:rPr>
          <w:lang w:val="en-US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4076700" cy="4171950"/>
            <wp:effectExtent l="1905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>Independently, Palmer also published the symbolic system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in 1870. The symbolic system is most often referred to as</w:t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 xml:space="preserve">the </w:t>
      </w:r>
      <w:r w:rsidRPr="006201E1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Palmer notation system 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in the United States and less frequently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 xml:space="preserve">as the </w:t>
      </w:r>
      <w:r w:rsidRPr="006201E1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Zsigmondy/Palmer notation system. 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In this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system the arches are divided into quadrants with the entire</w:t>
      </w:r>
    </w:p>
    <w:p w:rsid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>dentition being notated as follows:</w:t>
      </w:r>
    </w:p>
    <w:p w:rsid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</w:p>
    <w:p w:rsid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>
        <w:rPr>
          <w:rFonts w:ascii="JansonText-Roman" w:hAnsi="JansonText-Roman" w:cs="JansonText-Roman"/>
          <w:noProof/>
          <w:sz w:val="20"/>
          <w:szCs w:val="20"/>
          <w:lang w:eastAsia="it-IT"/>
        </w:rPr>
        <w:drawing>
          <wp:inline distT="0" distB="0" distL="0" distR="0">
            <wp:extent cx="952500" cy="200025"/>
            <wp:effectExtent l="1905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>Thus, for a single tooth such as the maxillary right central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incisor the designation is A . For the mandibular left central</w:t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>incisor, the notation is given as A . This numbering system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presents difficulty when an appropriate font is not available</w:t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>for keyboard recording of Zsigmondy/Palmer symbolic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notations. For simplification this symbolic notation is often</w:t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>designated as Palmer’s dental notation rather than Zsigmondy/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Palmer notation.</w:t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 xml:space="preserve">In the </w:t>
      </w:r>
      <w:r w:rsidRPr="006201E1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universal notation system 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for the permanent dentition,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the maxillary teeth are numbered from 1 through 16,</w:t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>beginning with the right third molar. Beginning with the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mandibular left third molar, the teeth are numbered 17</w:t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>through 32. Thus, the right maxillary first molar is designated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as 3, the maxillary left central incisor as 9, and the</w:t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>right mandibular first molar as 30. The following universal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notation designates the entire permanent dentition.</w:t>
      </w:r>
    </w:p>
    <w:p w:rsid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</w:p>
    <w:p w:rsid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>
        <w:rPr>
          <w:rFonts w:ascii="JansonText-Roman" w:hAnsi="JansonText-Roman" w:cs="JansonText-Roman"/>
          <w:noProof/>
          <w:sz w:val="20"/>
          <w:szCs w:val="20"/>
          <w:lang w:eastAsia="it-IT"/>
        </w:rPr>
        <w:drawing>
          <wp:inline distT="0" distB="0" distL="0" distR="0">
            <wp:extent cx="2800350" cy="295275"/>
            <wp:effectExtent l="1905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>The Zsigmondy/Palmer notation for the permanent dentition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is a four-quadrant symbolic system in which, beginning</w:t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>with the central incisors, the teeth are numbered 1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through 8 (or more) in each arch. For example, the right</w:t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>maxillary first molar is designated as 6 , and the left mandibular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central incisor as 1 . The Palmer notation for the</w:t>
      </w:r>
    </w:p>
    <w:p w:rsid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>entire permanent dentition is as follows:</w:t>
      </w:r>
    </w:p>
    <w:p w:rsid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>
        <w:rPr>
          <w:rFonts w:ascii="JansonText-Roman" w:hAnsi="JansonText-Roman" w:cs="JansonText-Roman"/>
          <w:noProof/>
          <w:sz w:val="20"/>
          <w:szCs w:val="20"/>
          <w:lang w:eastAsia="it-IT"/>
        </w:rPr>
        <w:drawing>
          <wp:inline distT="0" distB="0" distL="0" distR="0">
            <wp:extent cx="2133600" cy="314325"/>
            <wp:effectExtent l="1905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>Viktor Haderup of Denmark in 1891 devised a variant of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the eight-tooth quadrant system in which plus (</w:t>
      </w:r>
      <w:r>
        <w:rPr>
          <w:rFonts w:ascii="Symbol" w:hAnsi="Symbol" w:cs="Symbol"/>
          <w:sz w:val="20"/>
          <w:szCs w:val="20"/>
        </w:rPr>
        <w:t>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) and minus</w:t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>(</w:t>
      </w:r>
      <w:r w:rsidRPr="006201E1">
        <w:rPr>
          <w:rFonts w:ascii="Symbol" w:hAnsi="Symbol" w:cs="Symbol"/>
          <w:sz w:val="20"/>
          <w:szCs w:val="20"/>
          <w:lang w:val="en-US"/>
        </w:rPr>
        <w:t>−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) were used to differentiate between upper and lower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quadrants and between right and left quadrants; in other</w:t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 xml:space="preserve">words, </w:t>
      </w:r>
      <w:r>
        <w:rPr>
          <w:rFonts w:ascii="Symbol" w:hAnsi="Symbol" w:cs="Symbol"/>
          <w:sz w:val="20"/>
          <w:szCs w:val="20"/>
        </w:rPr>
        <w:t>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1 indicates the upper left central incisor and 1</w:t>
      </w:r>
      <w:r w:rsidRPr="006201E1">
        <w:rPr>
          <w:rFonts w:ascii="Symbol" w:hAnsi="Symbol" w:cs="Symbol"/>
          <w:sz w:val="20"/>
          <w:szCs w:val="20"/>
          <w:lang w:val="en-US"/>
        </w:rPr>
        <w:t>−</w:t>
      </w:r>
      <w:r>
        <w:rPr>
          <w:rFonts w:ascii="Symbol" w:hAnsi="Symbol" w:cs="Symbol"/>
          <w:sz w:val="20"/>
          <w:szCs w:val="20"/>
          <w:lang w:val="en-US"/>
        </w:rPr>
        <w:t>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indicates the lower right central incisor. Primary teeth were</w:t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>numbered as follows: upper right, 05</w:t>
      </w:r>
      <w:r>
        <w:rPr>
          <w:rFonts w:ascii="Symbol" w:hAnsi="Symbol" w:cs="Symbol"/>
          <w:sz w:val="20"/>
          <w:szCs w:val="20"/>
        </w:rPr>
        <w:t></w:t>
      </w:r>
      <w:r>
        <w:rPr>
          <w:rFonts w:ascii="Symbol" w:hAnsi="Symbol" w:cs="Symbol"/>
          <w:sz w:val="20"/>
          <w:szCs w:val="20"/>
        </w:rPr>
        <w:t>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to 01</w:t>
      </w:r>
      <w:r>
        <w:rPr>
          <w:rFonts w:ascii="Symbol" w:hAnsi="Symbol" w:cs="Symbol"/>
          <w:sz w:val="20"/>
          <w:szCs w:val="20"/>
        </w:rPr>
        <w:t>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; lower left,</w:t>
      </w:r>
      <w:r w:rsidRPr="006201E1">
        <w:rPr>
          <w:rFonts w:ascii="Symbol" w:hAnsi="Symbol" w:cs="Symbol"/>
          <w:sz w:val="20"/>
          <w:szCs w:val="20"/>
          <w:lang w:val="en-US"/>
        </w:rPr>
        <w:t>−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 xml:space="preserve">01 to </w:t>
      </w:r>
      <w:r w:rsidRPr="006201E1">
        <w:rPr>
          <w:rFonts w:ascii="Symbol" w:hAnsi="Symbol" w:cs="Symbol"/>
          <w:sz w:val="20"/>
          <w:szCs w:val="20"/>
          <w:lang w:val="en-US"/>
        </w:rPr>
        <w:t>−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05. This system is still taught in Denmark.</w:t>
      </w:r>
      <w:r w:rsidRPr="006201E1">
        <w:rPr>
          <w:rFonts w:ascii="JansonText-Roman" w:hAnsi="JansonText-Roman" w:cs="JansonText-Roman"/>
          <w:sz w:val="12"/>
          <w:szCs w:val="12"/>
          <w:lang w:val="en-US"/>
        </w:rPr>
        <w:t>5</w:t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lastRenderedPageBreak/>
        <w:t>The universal system is acceptable to computer language,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whereas the Palmer notation is generally incompatible with</w:t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>computers and word processing systems. Each tooth in the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universal system is designated with a unique number, which</w:t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>leads to less confusion than with the Palmer notation.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A two-digit system proposed by Fédération Dentaire</w:t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>Internationale (FDI) for both the primary and permanent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dentitions has been adopted by the World Health Organization</w:t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>and accepted by other organizations such as the International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Association for Dental Research. The FDI system</w:t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>of tooth notation is as follows.</w:t>
      </w:r>
    </w:p>
    <w:p w:rsid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>For the primary teeth:</w:t>
      </w:r>
    </w:p>
    <w:p w:rsid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>
        <w:rPr>
          <w:rFonts w:ascii="JansonText-Roman" w:hAnsi="JansonText-Roman" w:cs="JansonText-Roman"/>
          <w:noProof/>
          <w:sz w:val="20"/>
          <w:szCs w:val="20"/>
          <w:lang w:eastAsia="it-IT"/>
        </w:rPr>
        <w:drawing>
          <wp:inline distT="0" distB="0" distL="0" distR="0">
            <wp:extent cx="2000250" cy="762000"/>
            <wp:effectExtent l="1905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>Numeral 5 indicates the maxillary right side, and 6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indicates the maxillary left side. The second number of</w:t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>the two-digit number is the tooth number for each side. The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number 8 indicates the mandibular right side, and</w:t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>the number 7 indicates the mandibular left side. The second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number of the two-digit system is the tooth number. Thus,</w:t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 xml:space="preserve">for example the number 51 refers to the </w:t>
      </w:r>
      <w:r w:rsidRPr="006201E1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>maxillary right central</w:t>
      </w:r>
      <w:r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 </w:t>
      </w:r>
      <w:r w:rsidRPr="006201E1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>incisor.</w:t>
      </w:r>
    </w:p>
    <w:p w:rsid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>For the permanent teeth:</w:t>
      </w:r>
    </w:p>
    <w:p w:rsid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</w:p>
    <w:p w:rsid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>
        <w:rPr>
          <w:rFonts w:ascii="JansonText-Roman" w:hAnsi="JansonText-Roman" w:cs="JansonText-Roman"/>
          <w:noProof/>
          <w:sz w:val="20"/>
          <w:szCs w:val="20"/>
          <w:lang w:eastAsia="it-IT"/>
        </w:rPr>
        <w:drawing>
          <wp:inline distT="0" distB="0" distL="0" distR="0">
            <wp:extent cx="2895600" cy="828675"/>
            <wp:effectExtent l="19050" t="0" r="0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>Thus, as in the two-digit FDI system for the primary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dentition, the first digit indicates the quadrant: 1 to 4 for</w:t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>the permanent dentition and 5 to 8 for the primary dentition.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The second digit indicates the tooth within a quadrant:</w:t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>1 to 8 for the permanent teeth and 1 to 5 for the primary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sz w:val="20"/>
          <w:szCs w:val="20"/>
          <w:lang w:val="en-US"/>
        </w:rPr>
        <w:t>teeth. For example, the permanent upper right central</w:t>
      </w:r>
    </w:p>
    <w:p w:rsidR="006201E1" w:rsidRDefault="006201E1" w:rsidP="006201E1">
      <w:pPr>
        <w:rPr>
          <w:rFonts w:ascii="JansonText-Roman" w:hAnsi="JansonText-Roman" w:cs="JansonText-Roman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sz w:val="20"/>
          <w:szCs w:val="20"/>
          <w:lang w:val="en-US"/>
        </w:rPr>
        <w:t>incisor is 11 (pronounced “one one,” not “eleven”).</w:t>
      </w:r>
    </w:p>
    <w:p w:rsidR="0055373D" w:rsidRDefault="0055373D" w:rsidP="006201E1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color w:val="73A600"/>
          <w:sz w:val="24"/>
          <w:szCs w:val="24"/>
          <w:lang w:val="en-US"/>
        </w:rPr>
      </w:pPr>
    </w:p>
    <w:p w:rsidR="0055373D" w:rsidRDefault="0055373D" w:rsidP="006201E1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color w:val="73A600"/>
          <w:sz w:val="24"/>
          <w:szCs w:val="24"/>
          <w:lang w:val="en-US"/>
        </w:rPr>
      </w:pPr>
    </w:p>
    <w:p w:rsidR="0055373D" w:rsidRDefault="0055373D" w:rsidP="006201E1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color w:val="73A600"/>
          <w:sz w:val="24"/>
          <w:szCs w:val="24"/>
          <w:lang w:val="en-US"/>
        </w:rPr>
      </w:pPr>
    </w:p>
    <w:p w:rsidR="0055373D" w:rsidRDefault="0055373D" w:rsidP="006201E1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color w:val="73A600"/>
          <w:sz w:val="24"/>
          <w:szCs w:val="24"/>
          <w:lang w:val="en-US"/>
        </w:rPr>
      </w:pPr>
    </w:p>
    <w:p w:rsidR="0055373D" w:rsidRDefault="0055373D" w:rsidP="006201E1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color w:val="73A600"/>
          <w:sz w:val="24"/>
          <w:szCs w:val="24"/>
          <w:lang w:val="en-US"/>
        </w:rPr>
      </w:pPr>
    </w:p>
    <w:p w:rsidR="0055373D" w:rsidRDefault="0055373D" w:rsidP="006201E1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color w:val="73A600"/>
          <w:sz w:val="24"/>
          <w:szCs w:val="24"/>
          <w:lang w:val="en-US"/>
        </w:rPr>
      </w:pPr>
    </w:p>
    <w:p w:rsidR="0055373D" w:rsidRDefault="0055373D" w:rsidP="006201E1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color w:val="73A600"/>
          <w:sz w:val="24"/>
          <w:szCs w:val="24"/>
          <w:lang w:val="en-US"/>
        </w:rPr>
      </w:pPr>
    </w:p>
    <w:p w:rsidR="0055373D" w:rsidRDefault="0055373D" w:rsidP="006201E1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color w:val="73A600"/>
          <w:sz w:val="24"/>
          <w:szCs w:val="24"/>
          <w:lang w:val="en-US"/>
        </w:rPr>
      </w:pPr>
    </w:p>
    <w:p w:rsidR="0055373D" w:rsidRDefault="0055373D" w:rsidP="006201E1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color w:val="73A600"/>
          <w:sz w:val="24"/>
          <w:szCs w:val="24"/>
          <w:lang w:val="en-US"/>
        </w:rPr>
      </w:pPr>
    </w:p>
    <w:p w:rsidR="0055373D" w:rsidRDefault="0055373D" w:rsidP="006201E1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color w:val="73A600"/>
          <w:sz w:val="24"/>
          <w:szCs w:val="24"/>
          <w:lang w:val="en-US"/>
        </w:rPr>
      </w:pPr>
    </w:p>
    <w:p w:rsidR="0055373D" w:rsidRDefault="0055373D" w:rsidP="006201E1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color w:val="73A600"/>
          <w:sz w:val="24"/>
          <w:szCs w:val="24"/>
          <w:lang w:val="en-US"/>
        </w:rPr>
      </w:pPr>
    </w:p>
    <w:p w:rsidR="0055373D" w:rsidRDefault="0055373D" w:rsidP="006201E1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color w:val="73A600"/>
          <w:sz w:val="24"/>
          <w:szCs w:val="24"/>
          <w:lang w:val="en-US"/>
        </w:rPr>
      </w:pPr>
    </w:p>
    <w:p w:rsidR="0055373D" w:rsidRDefault="0055373D" w:rsidP="006201E1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color w:val="73A600"/>
          <w:sz w:val="24"/>
          <w:szCs w:val="24"/>
          <w:lang w:val="en-US"/>
        </w:rPr>
      </w:pPr>
    </w:p>
    <w:p w:rsidR="0055373D" w:rsidRDefault="0055373D" w:rsidP="006201E1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color w:val="73A600"/>
          <w:sz w:val="24"/>
          <w:szCs w:val="24"/>
          <w:lang w:val="en-US"/>
        </w:rPr>
      </w:pPr>
    </w:p>
    <w:p w:rsidR="0055373D" w:rsidRDefault="0055373D" w:rsidP="006201E1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color w:val="73A600"/>
          <w:sz w:val="24"/>
          <w:szCs w:val="24"/>
          <w:lang w:val="en-US"/>
        </w:rPr>
      </w:pPr>
    </w:p>
    <w:p w:rsidR="0055373D" w:rsidRDefault="0055373D" w:rsidP="006201E1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color w:val="73A600"/>
          <w:sz w:val="24"/>
          <w:szCs w:val="24"/>
          <w:lang w:val="en-US"/>
        </w:rPr>
      </w:pPr>
    </w:p>
    <w:p w:rsidR="0055373D" w:rsidRDefault="0055373D" w:rsidP="006201E1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color w:val="73A600"/>
          <w:sz w:val="24"/>
          <w:szCs w:val="24"/>
          <w:lang w:val="en-US"/>
        </w:rPr>
      </w:pPr>
    </w:p>
    <w:p w:rsidR="0055373D" w:rsidRDefault="0055373D" w:rsidP="006201E1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color w:val="73A600"/>
          <w:sz w:val="24"/>
          <w:szCs w:val="24"/>
          <w:lang w:val="en-US"/>
        </w:rPr>
      </w:pPr>
    </w:p>
    <w:p w:rsidR="0055373D" w:rsidRDefault="0055373D" w:rsidP="006201E1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color w:val="73A600"/>
          <w:sz w:val="24"/>
          <w:szCs w:val="24"/>
          <w:lang w:val="en-US"/>
        </w:rPr>
      </w:pPr>
    </w:p>
    <w:p w:rsidR="0055373D" w:rsidRDefault="0055373D" w:rsidP="006201E1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color w:val="73A600"/>
          <w:sz w:val="24"/>
          <w:szCs w:val="24"/>
          <w:lang w:val="en-US"/>
        </w:rPr>
      </w:pPr>
    </w:p>
    <w:p w:rsidR="0055373D" w:rsidRDefault="0055373D" w:rsidP="006201E1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color w:val="73A600"/>
          <w:sz w:val="24"/>
          <w:szCs w:val="24"/>
          <w:lang w:val="en-US"/>
        </w:rPr>
      </w:pPr>
    </w:p>
    <w:p w:rsidR="0055373D" w:rsidRDefault="0055373D" w:rsidP="006201E1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color w:val="73A600"/>
          <w:sz w:val="24"/>
          <w:szCs w:val="24"/>
          <w:lang w:val="en-US"/>
        </w:rPr>
      </w:pPr>
    </w:p>
    <w:p w:rsidR="0055373D" w:rsidRDefault="0055373D" w:rsidP="006201E1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color w:val="73A600"/>
          <w:sz w:val="24"/>
          <w:szCs w:val="24"/>
          <w:lang w:val="en-US"/>
        </w:rPr>
      </w:pPr>
    </w:p>
    <w:p w:rsidR="0055373D" w:rsidRDefault="0055373D" w:rsidP="006201E1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color w:val="73A600"/>
          <w:sz w:val="24"/>
          <w:szCs w:val="24"/>
          <w:lang w:val="en-US"/>
        </w:rPr>
      </w:pPr>
    </w:p>
    <w:p w:rsidR="0055373D" w:rsidRDefault="0055373D" w:rsidP="006201E1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color w:val="73A600"/>
          <w:sz w:val="24"/>
          <w:szCs w:val="24"/>
          <w:lang w:val="en-US"/>
        </w:rPr>
      </w:pPr>
    </w:p>
    <w:p w:rsidR="0055373D" w:rsidRDefault="0055373D" w:rsidP="006201E1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color w:val="73A600"/>
          <w:sz w:val="24"/>
          <w:szCs w:val="24"/>
          <w:lang w:val="en-US"/>
        </w:rPr>
      </w:pP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color w:val="73A600"/>
          <w:sz w:val="24"/>
          <w:szCs w:val="24"/>
          <w:lang w:val="en-US"/>
        </w:rPr>
      </w:pPr>
      <w:r w:rsidRPr="006201E1">
        <w:rPr>
          <w:rFonts w:ascii="KievitOT-Bold" w:hAnsi="KievitOT-Bold" w:cs="KievitOT-Bold"/>
          <w:b/>
          <w:bCs/>
          <w:color w:val="73A600"/>
          <w:sz w:val="24"/>
          <w:szCs w:val="24"/>
          <w:lang w:val="en-US"/>
        </w:rPr>
        <w:lastRenderedPageBreak/>
        <w:t>THE CROWN AND ROOT</w:t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color w:val="000000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color w:val="000000"/>
          <w:sz w:val="20"/>
          <w:szCs w:val="20"/>
          <w:lang w:val="en-US"/>
        </w:rPr>
        <w:t>Each tooth has a crown and root portion. The crown is</w:t>
      </w:r>
      <w:r>
        <w:rPr>
          <w:rFonts w:ascii="JansonText-Roman" w:hAnsi="JansonText-Roman" w:cs="JansonText-Roman"/>
          <w:color w:val="000000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color w:val="000000"/>
          <w:sz w:val="20"/>
          <w:szCs w:val="20"/>
          <w:lang w:val="en-US"/>
        </w:rPr>
        <w:t>covered with enamel, and the root portion is covered with</w:t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color w:val="000000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color w:val="000000"/>
          <w:sz w:val="20"/>
          <w:szCs w:val="20"/>
          <w:lang w:val="en-US"/>
        </w:rPr>
        <w:t>cementum. The crown and root join at the cementoenamel</w:t>
      </w:r>
      <w:r>
        <w:rPr>
          <w:rFonts w:ascii="JansonText-Roman" w:hAnsi="JansonText-Roman" w:cs="JansonText-Roman"/>
          <w:color w:val="000000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color w:val="000000"/>
          <w:sz w:val="20"/>
          <w:szCs w:val="20"/>
          <w:lang w:val="en-US"/>
        </w:rPr>
        <w:t xml:space="preserve">junction (CEJ). This junction, also called the </w:t>
      </w:r>
      <w:r w:rsidRPr="006201E1">
        <w:rPr>
          <w:rFonts w:ascii="OfficinaSansStd-Bold" w:hAnsi="OfficinaSansStd-Bold" w:cs="OfficinaSansStd-Bold"/>
          <w:b/>
          <w:bCs/>
          <w:color w:val="000000"/>
          <w:sz w:val="18"/>
          <w:szCs w:val="18"/>
          <w:lang w:val="en-US"/>
        </w:rPr>
        <w:t>cervical line</w:t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color w:val="000000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color w:val="000000"/>
          <w:sz w:val="20"/>
          <w:szCs w:val="20"/>
          <w:lang w:val="en-US"/>
        </w:rPr>
        <w:t>(Figure 1-3), is plainly visible on a specimen tooth. The</w:t>
      </w:r>
      <w:r>
        <w:rPr>
          <w:rFonts w:ascii="JansonText-Roman" w:hAnsi="JansonText-Roman" w:cs="JansonText-Roman"/>
          <w:color w:val="000000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color w:val="000000"/>
          <w:sz w:val="20"/>
          <w:szCs w:val="20"/>
          <w:lang w:val="en-US"/>
        </w:rPr>
        <w:t>main bulk of the tooth is composed of dentin, which is clear</w:t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color w:val="000000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color w:val="000000"/>
          <w:sz w:val="20"/>
          <w:szCs w:val="20"/>
          <w:lang w:val="en-US"/>
        </w:rPr>
        <w:t>in a cross section of the tooth. This cross section displays a</w:t>
      </w:r>
      <w:r>
        <w:rPr>
          <w:rFonts w:ascii="JansonText-Roman" w:hAnsi="JansonText-Roman" w:cs="JansonText-Roman"/>
          <w:color w:val="000000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color w:val="000000"/>
          <w:sz w:val="20"/>
          <w:szCs w:val="20"/>
          <w:lang w:val="en-US"/>
        </w:rPr>
        <w:t>pulp chamber and a pulp canal, which normally contain the</w:t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color w:val="000000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color w:val="000000"/>
          <w:sz w:val="20"/>
          <w:szCs w:val="20"/>
          <w:lang w:val="en-US"/>
        </w:rPr>
        <w:t>pulp tissue. The pulp chamber is in the crown portion</w:t>
      </w:r>
      <w:r>
        <w:rPr>
          <w:rFonts w:ascii="JansonText-Roman" w:hAnsi="JansonText-Roman" w:cs="JansonText-Roman"/>
          <w:color w:val="000000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color w:val="000000"/>
          <w:sz w:val="20"/>
          <w:szCs w:val="20"/>
          <w:lang w:val="en-US"/>
        </w:rPr>
        <w:t>mainly, and the pulp canal is in the root (Figure 1-4).The</w:t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color w:val="000000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color w:val="000000"/>
          <w:sz w:val="20"/>
          <w:szCs w:val="20"/>
          <w:lang w:val="en-US"/>
        </w:rPr>
        <w:t>spaces are continuous with each other and are spoken of</w:t>
      </w:r>
      <w:r>
        <w:rPr>
          <w:rFonts w:ascii="JansonText-Roman" w:hAnsi="JansonText-Roman" w:cs="JansonText-Roman"/>
          <w:color w:val="000000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color w:val="000000"/>
          <w:sz w:val="20"/>
          <w:szCs w:val="20"/>
          <w:lang w:val="en-US"/>
        </w:rPr>
        <w:t xml:space="preserve">collectively as the </w:t>
      </w:r>
      <w:r w:rsidRPr="006201E1">
        <w:rPr>
          <w:rFonts w:ascii="JansonText-Italic" w:hAnsi="JansonText-Italic" w:cs="JansonText-Italic"/>
          <w:i/>
          <w:iCs/>
          <w:color w:val="000000"/>
          <w:sz w:val="20"/>
          <w:szCs w:val="20"/>
          <w:lang w:val="en-US"/>
        </w:rPr>
        <w:t>pulp cavity.</w:t>
      </w:r>
    </w:p>
    <w:p w:rsidR="006201E1" w:rsidRPr="006201E1" w:rsidRDefault="006201E1" w:rsidP="006201E1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color w:val="000000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color w:val="000000"/>
          <w:sz w:val="20"/>
          <w:szCs w:val="20"/>
          <w:lang w:val="en-US"/>
        </w:rPr>
        <w:t>The four tooth tissues are enamel, cementum, dentin,</w:t>
      </w:r>
      <w:r>
        <w:rPr>
          <w:rFonts w:ascii="JansonText-Roman" w:hAnsi="JansonText-Roman" w:cs="JansonText-Roman"/>
          <w:color w:val="000000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color w:val="000000"/>
          <w:sz w:val="20"/>
          <w:szCs w:val="20"/>
          <w:lang w:val="en-US"/>
        </w:rPr>
        <w:t xml:space="preserve">and pulp. The first three are known as </w:t>
      </w:r>
      <w:r w:rsidRPr="006201E1">
        <w:rPr>
          <w:rFonts w:ascii="OfficinaSansStd-Bold" w:hAnsi="OfficinaSansStd-Bold" w:cs="OfficinaSansStd-Bold"/>
          <w:b/>
          <w:bCs/>
          <w:color w:val="000000"/>
          <w:sz w:val="18"/>
          <w:szCs w:val="18"/>
          <w:lang w:val="en-US"/>
        </w:rPr>
        <w:t xml:space="preserve">hard tissues, </w:t>
      </w:r>
      <w:r w:rsidRPr="006201E1">
        <w:rPr>
          <w:rFonts w:ascii="JansonText-Roman" w:hAnsi="JansonText-Roman" w:cs="JansonText-Roman"/>
          <w:color w:val="000000"/>
          <w:sz w:val="20"/>
          <w:szCs w:val="20"/>
          <w:lang w:val="en-US"/>
        </w:rPr>
        <w:t>the last</w:t>
      </w:r>
    </w:p>
    <w:p w:rsidR="006201E1" w:rsidRDefault="006201E1" w:rsidP="0055373D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color w:val="000000"/>
          <w:sz w:val="20"/>
          <w:szCs w:val="20"/>
          <w:lang w:val="en-US"/>
        </w:rPr>
      </w:pPr>
      <w:r w:rsidRPr="006201E1">
        <w:rPr>
          <w:rFonts w:ascii="JansonText-Roman" w:hAnsi="JansonText-Roman" w:cs="JansonText-Roman"/>
          <w:color w:val="000000"/>
          <w:sz w:val="20"/>
          <w:szCs w:val="20"/>
          <w:lang w:val="en-US"/>
        </w:rPr>
        <w:t xml:space="preserve">as </w:t>
      </w:r>
      <w:r w:rsidRPr="006201E1">
        <w:rPr>
          <w:rFonts w:ascii="OfficinaSansStd-Bold" w:hAnsi="OfficinaSansStd-Bold" w:cs="OfficinaSansStd-Bold"/>
          <w:b/>
          <w:bCs/>
          <w:color w:val="000000"/>
          <w:sz w:val="18"/>
          <w:szCs w:val="18"/>
          <w:lang w:val="en-US"/>
        </w:rPr>
        <w:t xml:space="preserve">soft tissue. </w:t>
      </w:r>
      <w:r w:rsidRPr="006201E1">
        <w:rPr>
          <w:rFonts w:ascii="JansonText-Roman" w:hAnsi="JansonText-Roman" w:cs="JansonText-Roman"/>
          <w:color w:val="000000"/>
          <w:sz w:val="20"/>
          <w:szCs w:val="20"/>
          <w:lang w:val="en-US"/>
        </w:rPr>
        <w:t>The pulp tissue furnishes the blood and nerve</w:t>
      </w:r>
      <w:r>
        <w:rPr>
          <w:rFonts w:ascii="JansonText-Roman" w:hAnsi="JansonText-Roman" w:cs="JansonText-Roman"/>
          <w:color w:val="000000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color w:val="000000"/>
          <w:sz w:val="20"/>
          <w:szCs w:val="20"/>
          <w:lang w:val="en-US"/>
        </w:rPr>
        <w:t>supply to the tooth. The tissues of the teeth must be considered</w:t>
      </w:r>
      <w:r>
        <w:rPr>
          <w:rFonts w:ascii="JansonText-Roman" w:hAnsi="JansonText-Roman" w:cs="JansonText-Roman"/>
          <w:color w:val="000000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color w:val="000000"/>
          <w:sz w:val="20"/>
          <w:szCs w:val="20"/>
          <w:lang w:val="en-US"/>
        </w:rPr>
        <w:t>in relation to the other tissues of the orofacial structures</w:t>
      </w:r>
      <w:r w:rsidR="0055373D">
        <w:rPr>
          <w:rFonts w:ascii="JansonText-Roman" w:hAnsi="JansonText-Roman" w:cs="JansonText-Roman"/>
          <w:color w:val="000000"/>
          <w:sz w:val="20"/>
          <w:szCs w:val="20"/>
          <w:lang w:val="en-US"/>
        </w:rPr>
        <w:t xml:space="preserve"> </w:t>
      </w:r>
      <w:r w:rsidRPr="006201E1">
        <w:rPr>
          <w:rFonts w:ascii="JansonText-Roman" w:hAnsi="JansonText-Roman" w:cs="JansonText-Roman"/>
          <w:color w:val="000000"/>
          <w:sz w:val="20"/>
          <w:szCs w:val="20"/>
          <w:lang w:val="en-US"/>
        </w:rPr>
        <w:t>(Figures 1-5 and 1-6) if the physiology of the teeth is</w:t>
      </w:r>
      <w:r w:rsidR="0055373D">
        <w:rPr>
          <w:rFonts w:ascii="JansonText-Roman" w:hAnsi="JansonText-Roman" w:cs="JansonText-Roman"/>
          <w:color w:val="000000"/>
          <w:sz w:val="20"/>
          <w:szCs w:val="20"/>
          <w:lang w:val="en-US"/>
        </w:rPr>
        <w:t xml:space="preserve"> </w:t>
      </w:r>
      <w:r w:rsidRPr="0055373D">
        <w:rPr>
          <w:rFonts w:ascii="JansonText-Roman" w:hAnsi="JansonText-Roman" w:cs="JansonText-Roman"/>
          <w:color w:val="000000"/>
          <w:sz w:val="20"/>
          <w:szCs w:val="20"/>
          <w:lang w:val="en-US"/>
        </w:rPr>
        <w:t>to be understood</w:t>
      </w:r>
    </w:p>
    <w:p w:rsidR="0055373D" w:rsidRDefault="0055373D" w:rsidP="0055373D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color w:val="000000"/>
          <w:sz w:val="20"/>
          <w:szCs w:val="20"/>
          <w:lang w:val="en-US"/>
        </w:rPr>
      </w:pPr>
    </w:p>
    <w:p w:rsidR="0055373D" w:rsidRPr="0055373D" w:rsidRDefault="0055373D" w:rsidP="0055373D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55373D">
        <w:rPr>
          <w:rFonts w:ascii="JansonText-Roman" w:hAnsi="JansonText-Roman" w:cs="JansonText-Roman"/>
          <w:sz w:val="20"/>
          <w:szCs w:val="20"/>
          <w:lang w:val="en-US"/>
        </w:rPr>
        <w:t>The crown of an incisor tooth may have an incisal ridge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>or edge, as in the central and lateral incisors; a single cusp,</w:t>
      </w:r>
    </w:p>
    <w:p w:rsidR="0055373D" w:rsidRPr="0055373D" w:rsidRDefault="0055373D" w:rsidP="0055373D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55373D">
        <w:rPr>
          <w:rFonts w:ascii="JansonText-Roman" w:hAnsi="JansonText-Roman" w:cs="JansonText-Roman"/>
          <w:sz w:val="20"/>
          <w:szCs w:val="20"/>
          <w:lang w:val="en-US"/>
        </w:rPr>
        <w:t>as in the canines; or two or more cusps, as on premolars and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>molars. Incisal ridges and cusps form the cutting surfaces on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>tooth crowns.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>The root portion of the tooth may be single, with one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>apex or terminal end, as usually found in anterior teeth andsome of the premolars; or multiple, with a bifurcation or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>trifurcation dividing the root portion into two or more</w:t>
      </w:r>
    </w:p>
    <w:p w:rsidR="0055373D" w:rsidRPr="0055373D" w:rsidRDefault="0055373D" w:rsidP="0055373D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55373D">
        <w:rPr>
          <w:rFonts w:ascii="JansonText-Roman" w:hAnsi="JansonText-Roman" w:cs="JansonText-Roman"/>
          <w:sz w:val="20"/>
          <w:szCs w:val="20"/>
          <w:lang w:val="en-US"/>
        </w:rPr>
        <w:t>extensions or roots with their apices or terminal ends, as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>found on all molars and in some premolars.</w:t>
      </w:r>
    </w:p>
    <w:p w:rsidR="0055373D" w:rsidRPr="0055373D" w:rsidRDefault="0055373D" w:rsidP="0055373D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55373D">
        <w:rPr>
          <w:rFonts w:ascii="JansonText-Roman" w:hAnsi="JansonText-Roman" w:cs="JansonText-Roman"/>
          <w:sz w:val="20"/>
          <w:szCs w:val="20"/>
          <w:lang w:val="en-US"/>
        </w:rPr>
        <w:t>The root portion of the tooth is firmly fixed in the bony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>process of the jaw, so that each tooth is held in its position</w:t>
      </w:r>
    </w:p>
    <w:p w:rsidR="0055373D" w:rsidRPr="0055373D" w:rsidRDefault="0055373D" w:rsidP="0055373D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55373D">
        <w:rPr>
          <w:rFonts w:ascii="JansonText-Roman" w:hAnsi="JansonText-Roman" w:cs="JansonText-Roman"/>
          <w:sz w:val="20"/>
          <w:szCs w:val="20"/>
          <w:lang w:val="en-US"/>
        </w:rPr>
        <w:t>relative to the others in the dental arch. That portion of the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 xml:space="preserve">jaw serving as support for the tooth is called the </w:t>
      </w:r>
      <w:r w:rsidRPr="0055373D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>alveolar</w:t>
      </w:r>
    </w:p>
    <w:p w:rsidR="0055373D" w:rsidRPr="0055373D" w:rsidRDefault="0055373D" w:rsidP="0055373D">
      <w:pPr>
        <w:autoSpaceDE w:val="0"/>
        <w:autoSpaceDN w:val="0"/>
        <w:adjustRightInd w:val="0"/>
        <w:spacing w:after="0" w:line="240" w:lineRule="auto"/>
        <w:rPr>
          <w:rFonts w:ascii="JansonText-Italic" w:hAnsi="JansonText-Italic" w:cs="JansonText-Italic"/>
          <w:i/>
          <w:iCs/>
          <w:sz w:val="20"/>
          <w:szCs w:val="20"/>
          <w:lang w:val="en-US"/>
        </w:rPr>
      </w:pPr>
      <w:r w:rsidRPr="0055373D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process.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 xml:space="preserve">The bone of the tooth socket is called the </w:t>
      </w:r>
      <w:r w:rsidRPr="0055373D">
        <w:rPr>
          <w:rFonts w:ascii="JansonText-Italic" w:hAnsi="JansonText-Italic" w:cs="JansonText-Italic"/>
          <w:i/>
          <w:iCs/>
          <w:sz w:val="20"/>
          <w:szCs w:val="20"/>
          <w:lang w:val="en-US"/>
        </w:rPr>
        <w:t>alveolus</w:t>
      </w:r>
    </w:p>
    <w:p w:rsidR="0055373D" w:rsidRPr="0055373D" w:rsidRDefault="0055373D" w:rsidP="0055373D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55373D">
        <w:rPr>
          <w:rFonts w:ascii="JansonText-Roman" w:hAnsi="JansonText-Roman" w:cs="JansonText-Roman"/>
          <w:sz w:val="20"/>
          <w:szCs w:val="20"/>
          <w:lang w:val="en-US"/>
        </w:rPr>
        <w:t xml:space="preserve">(plural, </w:t>
      </w:r>
      <w:r w:rsidRPr="0055373D">
        <w:rPr>
          <w:rFonts w:ascii="JansonText-Italic" w:hAnsi="JansonText-Italic" w:cs="JansonText-Italic"/>
          <w:i/>
          <w:iCs/>
          <w:sz w:val="20"/>
          <w:szCs w:val="20"/>
          <w:lang w:val="en-US"/>
        </w:rPr>
        <w:t>alveoli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>) (Figure 1-7).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>The crown portion is never covered by bone tissue after</w:t>
      </w:r>
    </w:p>
    <w:p w:rsidR="0055373D" w:rsidRPr="0055373D" w:rsidRDefault="0055373D" w:rsidP="0055373D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55373D">
        <w:rPr>
          <w:rFonts w:ascii="JansonText-Roman" w:hAnsi="JansonText-Roman" w:cs="JansonText-Roman"/>
          <w:sz w:val="20"/>
          <w:szCs w:val="20"/>
          <w:lang w:val="en-US"/>
        </w:rPr>
        <w:t>it is fully erupted, but it is partly covered at the cervical third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>in young adults by soft tissue of the mouth known as the</w:t>
      </w:r>
    </w:p>
    <w:p w:rsidR="0055373D" w:rsidRPr="0055373D" w:rsidRDefault="0055373D" w:rsidP="0055373D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55373D">
        <w:rPr>
          <w:rFonts w:ascii="JansonText-Italic" w:hAnsi="JansonText-Italic" w:cs="JansonText-Italic"/>
          <w:i/>
          <w:iCs/>
          <w:sz w:val="20"/>
          <w:szCs w:val="20"/>
          <w:lang w:val="en-US"/>
        </w:rPr>
        <w:t xml:space="preserve">gingiva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 xml:space="preserve">or </w:t>
      </w:r>
      <w:r w:rsidRPr="0055373D">
        <w:rPr>
          <w:rFonts w:ascii="JansonText-Italic" w:hAnsi="JansonText-Italic" w:cs="JansonText-Italic"/>
          <w:i/>
          <w:iCs/>
          <w:sz w:val="20"/>
          <w:szCs w:val="20"/>
          <w:lang w:val="en-US"/>
        </w:rPr>
        <w:t xml:space="preserve">gingival tissue,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>or “gums.” In some persons, all of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>the enamel and frequently some cervical cementum may not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>be covered by the gingiva.</w:t>
      </w:r>
    </w:p>
    <w:p w:rsidR="0055373D" w:rsidRDefault="0055373D" w:rsidP="0055373D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color w:val="000000"/>
          <w:sz w:val="20"/>
          <w:szCs w:val="20"/>
          <w:lang w:val="en-US"/>
        </w:rPr>
      </w:pPr>
      <w:r>
        <w:rPr>
          <w:rFonts w:ascii="JansonText-Roman" w:hAnsi="JansonText-Roman" w:cs="JansonText-Roman"/>
          <w:noProof/>
          <w:color w:val="000000"/>
          <w:sz w:val="20"/>
          <w:szCs w:val="20"/>
          <w:lang w:eastAsia="it-IT"/>
        </w:rPr>
        <w:drawing>
          <wp:inline distT="0" distB="0" distL="0" distR="0">
            <wp:extent cx="4076700" cy="4229100"/>
            <wp:effectExtent l="19050" t="0" r="0" b="0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73D" w:rsidRDefault="0055373D" w:rsidP="0055373D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color w:val="000000"/>
          <w:sz w:val="20"/>
          <w:szCs w:val="20"/>
          <w:lang w:val="en-US"/>
        </w:rPr>
      </w:pPr>
      <w:r>
        <w:rPr>
          <w:rFonts w:ascii="JansonText-Roman" w:hAnsi="JansonText-Roman" w:cs="JansonText-Roman"/>
          <w:noProof/>
          <w:color w:val="000000"/>
          <w:sz w:val="20"/>
          <w:szCs w:val="20"/>
          <w:lang w:eastAsia="it-IT"/>
        </w:rPr>
        <w:lastRenderedPageBreak/>
        <w:drawing>
          <wp:inline distT="0" distB="0" distL="0" distR="0">
            <wp:extent cx="5781675" cy="3248025"/>
            <wp:effectExtent l="19050" t="0" r="9525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73D" w:rsidRDefault="0055373D" w:rsidP="0055373D">
      <w:pPr>
        <w:rPr>
          <w:rFonts w:ascii="JansonText-Roman" w:hAnsi="JansonText-Roman" w:cs="JansonText-Roman"/>
          <w:sz w:val="20"/>
          <w:szCs w:val="20"/>
          <w:lang w:val="en-US"/>
        </w:rPr>
      </w:pPr>
    </w:p>
    <w:p w:rsidR="0055373D" w:rsidRPr="0055373D" w:rsidRDefault="0055373D" w:rsidP="0055373D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color w:val="73A600"/>
          <w:sz w:val="24"/>
          <w:szCs w:val="24"/>
          <w:lang w:val="en-US"/>
        </w:rPr>
      </w:pPr>
      <w:r w:rsidRPr="0055373D">
        <w:rPr>
          <w:rFonts w:ascii="KievitOT-Bold" w:hAnsi="KievitOT-Bold" w:cs="KievitOT-Bold"/>
          <w:b/>
          <w:bCs/>
          <w:color w:val="73A600"/>
          <w:sz w:val="24"/>
          <w:szCs w:val="24"/>
          <w:lang w:val="en-US"/>
        </w:rPr>
        <w:t>SURFACES AND RIDGES</w:t>
      </w:r>
    </w:p>
    <w:p w:rsidR="0055373D" w:rsidRPr="0055373D" w:rsidRDefault="0055373D" w:rsidP="0055373D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color w:val="000000"/>
          <w:sz w:val="20"/>
          <w:szCs w:val="20"/>
          <w:lang w:val="en-US"/>
        </w:rPr>
      </w:pPr>
      <w:r w:rsidRPr="0055373D">
        <w:rPr>
          <w:rFonts w:ascii="JansonText-Roman" w:hAnsi="JansonText-Roman" w:cs="JansonText-Roman"/>
          <w:color w:val="000000"/>
          <w:sz w:val="20"/>
          <w:szCs w:val="20"/>
          <w:lang w:val="en-US"/>
        </w:rPr>
        <w:t>The crowns of the incisors and canines have four surfaces</w:t>
      </w:r>
      <w:r>
        <w:rPr>
          <w:rFonts w:ascii="JansonText-Roman" w:hAnsi="JansonText-Roman" w:cs="JansonText-Roman"/>
          <w:color w:val="000000"/>
          <w:sz w:val="20"/>
          <w:szCs w:val="20"/>
          <w:lang w:val="en-US"/>
        </w:rPr>
        <w:t xml:space="preserve"> </w:t>
      </w:r>
      <w:r w:rsidRPr="0055373D">
        <w:rPr>
          <w:rFonts w:ascii="JansonText-Roman" w:hAnsi="JansonText-Roman" w:cs="JansonText-Roman"/>
          <w:color w:val="000000"/>
          <w:sz w:val="20"/>
          <w:szCs w:val="20"/>
          <w:lang w:val="en-US"/>
        </w:rPr>
        <w:t>and a ridge, and the crowns of the premolars and molars</w:t>
      </w:r>
    </w:p>
    <w:p w:rsidR="0055373D" w:rsidRPr="0055373D" w:rsidRDefault="0055373D" w:rsidP="0055373D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color w:val="000000"/>
          <w:sz w:val="20"/>
          <w:szCs w:val="20"/>
          <w:lang w:val="en-US"/>
        </w:rPr>
      </w:pPr>
      <w:r w:rsidRPr="0055373D">
        <w:rPr>
          <w:rFonts w:ascii="JansonText-Roman" w:hAnsi="JansonText-Roman" w:cs="JansonText-Roman"/>
          <w:color w:val="000000"/>
          <w:sz w:val="20"/>
          <w:szCs w:val="20"/>
          <w:lang w:val="en-US"/>
        </w:rPr>
        <w:t>have five surfaces. The surfaces are named according to</w:t>
      </w:r>
      <w:r>
        <w:rPr>
          <w:rFonts w:ascii="JansonText-Roman" w:hAnsi="JansonText-Roman" w:cs="JansonText-Roman"/>
          <w:color w:val="000000"/>
          <w:sz w:val="20"/>
          <w:szCs w:val="20"/>
          <w:lang w:val="en-US"/>
        </w:rPr>
        <w:t xml:space="preserve"> </w:t>
      </w:r>
      <w:r w:rsidRPr="0055373D">
        <w:rPr>
          <w:rFonts w:ascii="JansonText-Roman" w:hAnsi="JansonText-Roman" w:cs="JansonText-Roman"/>
          <w:color w:val="000000"/>
          <w:sz w:val="20"/>
          <w:szCs w:val="20"/>
          <w:lang w:val="en-US"/>
        </w:rPr>
        <w:t>their positions and uses (Figure 1-8). In the incisors and</w:t>
      </w:r>
    </w:p>
    <w:p w:rsidR="0055373D" w:rsidRPr="0055373D" w:rsidRDefault="0055373D" w:rsidP="0055373D">
      <w:pPr>
        <w:autoSpaceDE w:val="0"/>
        <w:autoSpaceDN w:val="0"/>
        <w:adjustRightInd w:val="0"/>
        <w:spacing w:after="0" w:line="240" w:lineRule="auto"/>
        <w:rPr>
          <w:rFonts w:ascii="OfficinaSansStd-Bold" w:hAnsi="OfficinaSansStd-Bold" w:cs="OfficinaSansStd-Bold"/>
          <w:b/>
          <w:bCs/>
          <w:color w:val="000000"/>
          <w:sz w:val="18"/>
          <w:szCs w:val="18"/>
          <w:lang w:val="en-US"/>
        </w:rPr>
      </w:pPr>
      <w:r w:rsidRPr="0055373D">
        <w:rPr>
          <w:rFonts w:ascii="JansonText-Roman" w:hAnsi="JansonText-Roman" w:cs="JansonText-Roman"/>
          <w:color w:val="000000"/>
          <w:sz w:val="20"/>
          <w:szCs w:val="20"/>
          <w:lang w:val="en-US"/>
        </w:rPr>
        <w:t xml:space="preserve">canines, the surfaces toward the lips are called </w:t>
      </w:r>
      <w:r w:rsidRPr="0055373D">
        <w:rPr>
          <w:rFonts w:ascii="OfficinaSansStd-Bold" w:hAnsi="OfficinaSansStd-Bold" w:cs="OfficinaSansStd-Bold"/>
          <w:b/>
          <w:bCs/>
          <w:color w:val="000000"/>
          <w:sz w:val="18"/>
          <w:szCs w:val="18"/>
          <w:lang w:val="en-US"/>
        </w:rPr>
        <w:t>labial surfaces;</w:t>
      </w:r>
      <w:r>
        <w:rPr>
          <w:rFonts w:ascii="OfficinaSansStd-Bold" w:hAnsi="OfficinaSansStd-Bold" w:cs="OfficinaSansStd-Bold"/>
          <w:b/>
          <w:bCs/>
          <w:color w:val="000000"/>
          <w:sz w:val="18"/>
          <w:szCs w:val="18"/>
          <w:lang w:val="en-US"/>
        </w:rPr>
        <w:t xml:space="preserve"> </w:t>
      </w:r>
      <w:r w:rsidRPr="0055373D">
        <w:rPr>
          <w:rFonts w:ascii="JansonText-Roman" w:hAnsi="JansonText-Roman" w:cs="JansonText-Roman"/>
          <w:color w:val="000000"/>
          <w:sz w:val="20"/>
          <w:szCs w:val="20"/>
          <w:lang w:val="en-US"/>
        </w:rPr>
        <w:t>in the premolars and molars, those facing the cheek are</w:t>
      </w:r>
    </w:p>
    <w:p w:rsidR="0055373D" w:rsidRPr="0055373D" w:rsidRDefault="0055373D" w:rsidP="0055373D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color w:val="000000"/>
          <w:sz w:val="20"/>
          <w:szCs w:val="20"/>
          <w:lang w:val="en-US"/>
        </w:rPr>
      </w:pPr>
      <w:r w:rsidRPr="0055373D">
        <w:rPr>
          <w:rFonts w:ascii="JansonText-Roman" w:hAnsi="JansonText-Roman" w:cs="JansonText-Roman"/>
          <w:color w:val="000000"/>
          <w:sz w:val="20"/>
          <w:szCs w:val="20"/>
          <w:lang w:val="en-US"/>
        </w:rPr>
        <w:t xml:space="preserve">the </w:t>
      </w:r>
      <w:r w:rsidRPr="0055373D">
        <w:rPr>
          <w:rFonts w:ascii="OfficinaSansStd-Bold" w:hAnsi="OfficinaSansStd-Bold" w:cs="OfficinaSansStd-Bold"/>
          <w:b/>
          <w:bCs/>
          <w:color w:val="000000"/>
          <w:sz w:val="18"/>
          <w:szCs w:val="18"/>
          <w:lang w:val="en-US"/>
        </w:rPr>
        <w:t xml:space="preserve">buccal surfaces. </w:t>
      </w:r>
      <w:r w:rsidRPr="0055373D">
        <w:rPr>
          <w:rFonts w:ascii="JansonText-Roman" w:hAnsi="JansonText-Roman" w:cs="JansonText-Roman"/>
          <w:color w:val="000000"/>
          <w:sz w:val="20"/>
          <w:szCs w:val="20"/>
          <w:lang w:val="en-US"/>
        </w:rPr>
        <w:t>When labial and buccal surfaces are</w:t>
      </w:r>
      <w:r>
        <w:rPr>
          <w:rFonts w:ascii="JansonText-Roman" w:hAnsi="JansonText-Roman" w:cs="JansonText-Roman"/>
          <w:color w:val="000000"/>
          <w:sz w:val="20"/>
          <w:szCs w:val="20"/>
          <w:lang w:val="en-US"/>
        </w:rPr>
        <w:t xml:space="preserve"> </w:t>
      </w:r>
      <w:r w:rsidRPr="0055373D">
        <w:rPr>
          <w:rFonts w:ascii="JansonText-Roman" w:hAnsi="JansonText-Roman" w:cs="JansonText-Roman"/>
          <w:color w:val="000000"/>
          <w:sz w:val="20"/>
          <w:szCs w:val="20"/>
          <w:lang w:val="en-US"/>
        </w:rPr>
        <w:t xml:space="preserve">spoken of collectively, they are called </w:t>
      </w:r>
      <w:r w:rsidRPr="0055373D">
        <w:rPr>
          <w:rFonts w:ascii="OfficinaSansStd-Bold" w:hAnsi="OfficinaSansStd-Bold" w:cs="OfficinaSansStd-Bold"/>
          <w:b/>
          <w:bCs/>
          <w:color w:val="000000"/>
          <w:sz w:val="18"/>
          <w:szCs w:val="18"/>
          <w:lang w:val="en-US"/>
        </w:rPr>
        <w:t xml:space="preserve">facial surfaces. </w:t>
      </w:r>
      <w:r w:rsidRPr="0055373D">
        <w:rPr>
          <w:rFonts w:ascii="JansonText-Roman" w:hAnsi="JansonText-Roman" w:cs="JansonText-Roman"/>
          <w:color w:val="000000"/>
          <w:sz w:val="20"/>
          <w:szCs w:val="20"/>
          <w:lang w:val="en-US"/>
        </w:rPr>
        <w:t>All</w:t>
      </w:r>
    </w:p>
    <w:p w:rsidR="0055373D" w:rsidRPr="0055373D" w:rsidRDefault="0055373D" w:rsidP="0055373D">
      <w:pPr>
        <w:autoSpaceDE w:val="0"/>
        <w:autoSpaceDN w:val="0"/>
        <w:adjustRightInd w:val="0"/>
        <w:spacing w:after="0" w:line="240" w:lineRule="auto"/>
        <w:rPr>
          <w:rFonts w:ascii="OfficinaSansStd-Bold" w:hAnsi="OfficinaSansStd-Bold" w:cs="OfficinaSansStd-Bold"/>
          <w:b/>
          <w:bCs/>
          <w:color w:val="000000"/>
          <w:sz w:val="18"/>
          <w:szCs w:val="18"/>
          <w:lang w:val="en-US"/>
        </w:rPr>
      </w:pPr>
      <w:r w:rsidRPr="0055373D">
        <w:rPr>
          <w:rFonts w:ascii="JansonText-Roman" w:hAnsi="JansonText-Roman" w:cs="JansonText-Roman"/>
          <w:color w:val="000000"/>
          <w:sz w:val="20"/>
          <w:szCs w:val="20"/>
          <w:lang w:val="en-US"/>
        </w:rPr>
        <w:t xml:space="preserve">surfaces facing toward the tongue are called </w:t>
      </w:r>
      <w:r w:rsidRPr="0055373D">
        <w:rPr>
          <w:rFonts w:ascii="OfficinaSansStd-Bold" w:hAnsi="OfficinaSansStd-Bold" w:cs="OfficinaSansStd-Bold"/>
          <w:b/>
          <w:bCs/>
          <w:color w:val="000000"/>
          <w:sz w:val="18"/>
          <w:szCs w:val="18"/>
          <w:lang w:val="en-US"/>
        </w:rPr>
        <w:t>lingual surfaces.</w:t>
      </w:r>
      <w:r>
        <w:rPr>
          <w:rFonts w:ascii="OfficinaSansStd-Bold" w:hAnsi="OfficinaSansStd-Bold" w:cs="OfficinaSansStd-Bold"/>
          <w:b/>
          <w:bCs/>
          <w:color w:val="000000"/>
          <w:sz w:val="18"/>
          <w:szCs w:val="18"/>
          <w:lang w:val="en-US"/>
        </w:rPr>
        <w:t xml:space="preserve"> </w:t>
      </w:r>
      <w:r w:rsidRPr="0055373D">
        <w:rPr>
          <w:rFonts w:ascii="JansonText-Roman" w:hAnsi="JansonText-Roman" w:cs="JansonText-Roman"/>
          <w:color w:val="000000"/>
          <w:sz w:val="20"/>
          <w:szCs w:val="20"/>
          <w:lang w:val="en-US"/>
        </w:rPr>
        <w:t>The surfaces of the premolars and molars that come</w:t>
      </w:r>
    </w:p>
    <w:p w:rsidR="0055373D" w:rsidRPr="0055373D" w:rsidRDefault="0055373D" w:rsidP="0055373D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55373D">
        <w:rPr>
          <w:rFonts w:ascii="JansonText-Roman" w:hAnsi="JansonText-Roman" w:cs="JansonText-Roman"/>
          <w:color w:val="000000"/>
          <w:sz w:val="20"/>
          <w:szCs w:val="20"/>
          <w:lang w:val="en-US"/>
        </w:rPr>
        <w:t>in contact (occlusion) with those in the opposite jaw during</w:t>
      </w:r>
      <w:r>
        <w:rPr>
          <w:rFonts w:ascii="JansonText-Roman" w:hAnsi="JansonText-Roman" w:cs="JansonText-Roman"/>
          <w:color w:val="000000"/>
          <w:sz w:val="20"/>
          <w:szCs w:val="20"/>
          <w:lang w:val="en-US"/>
        </w:rPr>
        <w:t xml:space="preserve"> </w:t>
      </w:r>
      <w:r w:rsidRPr="0055373D">
        <w:rPr>
          <w:rFonts w:ascii="JansonText-Roman" w:hAnsi="JansonText-Roman" w:cs="JansonText-Roman"/>
          <w:color w:val="000000"/>
          <w:sz w:val="20"/>
          <w:szCs w:val="20"/>
          <w:lang w:val="en-US"/>
        </w:rPr>
        <w:t xml:space="preserve">the act of closure are called </w:t>
      </w:r>
      <w:r w:rsidRPr="0055373D">
        <w:rPr>
          <w:rFonts w:ascii="OfficinaSansStd-Bold" w:hAnsi="OfficinaSansStd-Bold" w:cs="OfficinaSansStd-Bold"/>
          <w:b/>
          <w:bCs/>
          <w:color w:val="000000"/>
          <w:sz w:val="18"/>
          <w:szCs w:val="18"/>
          <w:lang w:val="en-US"/>
        </w:rPr>
        <w:t xml:space="preserve">occlusal surfaces. </w:t>
      </w:r>
      <w:r w:rsidRPr="0055373D">
        <w:rPr>
          <w:rFonts w:ascii="JansonText-Roman" w:hAnsi="JansonText-Roman" w:cs="JansonText-Roman"/>
          <w:color w:val="000000"/>
          <w:sz w:val="20"/>
          <w:szCs w:val="20"/>
          <w:lang w:val="en-US"/>
        </w:rPr>
        <w:t>These are</w:t>
      </w:r>
      <w:r>
        <w:rPr>
          <w:rFonts w:ascii="JansonText-Roman" w:hAnsi="JansonText-Roman" w:cs="JansonText-Roman"/>
          <w:color w:val="000000"/>
          <w:sz w:val="20"/>
          <w:szCs w:val="20"/>
          <w:lang w:val="en-US"/>
        </w:rPr>
        <w:t xml:space="preserve">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 xml:space="preserve">called </w:t>
      </w:r>
      <w:r w:rsidRPr="0055373D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incisal surfaces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>with respect to incisors and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>canines.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>The surfaces of the teeth facing toward adjoining teeth</w:t>
      </w:r>
    </w:p>
    <w:p w:rsidR="0055373D" w:rsidRPr="0055373D" w:rsidRDefault="0055373D" w:rsidP="0055373D">
      <w:pPr>
        <w:autoSpaceDE w:val="0"/>
        <w:autoSpaceDN w:val="0"/>
        <w:adjustRightInd w:val="0"/>
        <w:spacing w:after="0" w:line="240" w:lineRule="auto"/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</w:pPr>
      <w:r w:rsidRPr="0055373D">
        <w:rPr>
          <w:rFonts w:ascii="JansonText-Roman" w:hAnsi="JansonText-Roman" w:cs="JansonText-Roman"/>
          <w:sz w:val="20"/>
          <w:szCs w:val="20"/>
          <w:lang w:val="en-US"/>
        </w:rPr>
        <w:t xml:space="preserve">in the same dental arch are called </w:t>
      </w:r>
      <w:r w:rsidRPr="0055373D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proximal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 xml:space="preserve">or </w:t>
      </w:r>
      <w:r w:rsidRPr="0055373D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>proximate surfaces.</w:t>
      </w:r>
      <w:r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 xml:space="preserve">The proximal surfaces may be called either </w:t>
      </w:r>
      <w:r w:rsidRPr="0055373D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mesial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>or</w:t>
      </w:r>
      <w:r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 </w:t>
      </w:r>
      <w:r w:rsidRPr="0055373D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distal.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>These terms have special reference to the position of</w:t>
      </w:r>
      <w:r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>the surface relative to the median line of the face. This line</w:t>
      </w:r>
      <w:r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>is drawn vertically through the center of the face, passing</w:t>
      </w:r>
      <w:r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>between the central incisors at their point of contact with</w:t>
      </w:r>
    </w:p>
    <w:p w:rsidR="0055373D" w:rsidRPr="0055373D" w:rsidRDefault="0055373D" w:rsidP="0055373D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55373D">
        <w:rPr>
          <w:rFonts w:ascii="JansonText-Roman" w:hAnsi="JansonText-Roman" w:cs="JansonText-Roman"/>
          <w:sz w:val="20"/>
          <w:szCs w:val="20"/>
          <w:lang w:val="en-US"/>
        </w:rPr>
        <w:t>each other in both the maxilla and the mandible. Those proximal surfaces that, following the curve of the arch, are</w:t>
      </w:r>
    </w:p>
    <w:p w:rsidR="0055373D" w:rsidRPr="0055373D" w:rsidRDefault="0055373D" w:rsidP="0055373D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55373D">
        <w:rPr>
          <w:rFonts w:ascii="JansonText-Roman" w:hAnsi="JansonText-Roman" w:cs="JansonText-Roman"/>
          <w:sz w:val="20"/>
          <w:szCs w:val="20"/>
          <w:lang w:val="en-US"/>
        </w:rPr>
        <w:t xml:space="preserve">faced toward the median line are called </w:t>
      </w:r>
      <w:r w:rsidRPr="0055373D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mesial surfaces, 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and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 xml:space="preserve">those most distant from the median line are called </w:t>
      </w:r>
      <w:r w:rsidRPr="0055373D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>distal</w:t>
      </w:r>
    </w:p>
    <w:p w:rsidR="0055373D" w:rsidRPr="0055373D" w:rsidRDefault="0055373D" w:rsidP="0055373D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55373D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>surfaces.</w:t>
      </w:r>
      <w:r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>Four teeth have mesial surfaces that contact each other:</w:t>
      </w:r>
      <w:r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 xml:space="preserve">the </w:t>
      </w:r>
      <w:r w:rsidRPr="0055373D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maxillary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 xml:space="preserve">and </w:t>
      </w:r>
      <w:r w:rsidRPr="0055373D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mandibular central incisors.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>In all other</w:t>
      </w:r>
      <w:r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>instances, the mesial surface of one tooth contacts the distal</w:t>
      </w:r>
      <w:r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>surface of its neighbor, except for the distal surfaces of third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>molars of permanent teeth and distal surfaces of second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>molars in deciduous teeth, which have no teeth distal to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>them. The area of the mesial or distal surface of a tooth that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 xml:space="preserve">touches its neighbor in the arch is called the </w:t>
      </w:r>
      <w:r w:rsidRPr="0055373D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>contact area.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>Central and lateral incisors and canines as a group are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 xml:space="preserve">called </w:t>
      </w:r>
      <w:r w:rsidRPr="0055373D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anterior teeth; </w:t>
      </w:r>
      <w:r w:rsidRPr="0055373D">
        <w:rPr>
          <w:rFonts w:ascii="JansonText-Roman" w:hAnsi="JansonText-Roman" w:cs="JansonText-Roman"/>
          <w:sz w:val="20"/>
          <w:szCs w:val="20"/>
          <w:lang w:val="en-US"/>
        </w:rPr>
        <w:t xml:space="preserve">premolars and molars as a group, </w:t>
      </w:r>
      <w:r w:rsidRPr="0055373D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>posterior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55373D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>teeth.</w:t>
      </w:r>
    </w:p>
    <w:p w:rsidR="0055373D" w:rsidRDefault="0055373D" w:rsidP="0055373D">
      <w:pPr>
        <w:tabs>
          <w:tab w:val="left" w:pos="2835"/>
        </w:tabs>
        <w:rPr>
          <w:rFonts w:ascii="JansonText-Roman" w:hAnsi="JansonText-Roman" w:cs="JansonText-Roman"/>
          <w:sz w:val="20"/>
          <w:szCs w:val="20"/>
          <w:lang w:val="en-US"/>
        </w:rPr>
      </w:pPr>
      <w:r>
        <w:rPr>
          <w:rFonts w:ascii="JansonText-Roman" w:hAnsi="JansonText-Roman" w:cs="JansonText-Roman"/>
          <w:sz w:val="20"/>
          <w:szCs w:val="20"/>
          <w:lang w:val="en-US"/>
        </w:rPr>
        <w:lastRenderedPageBreak/>
        <w:tab/>
      </w:r>
      <w:r>
        <w:rPr>
          <w:rFonts w:ascii="JansonText-Roman" w:hAnsi="JansonText-Roman" w:cs="JansonText-Roman"/>
          <w:noProof/>
          <w:sz w:val="20"/>
          <w:szCs w:val="20"/>
          <w:lang w:eastAsia="it-IT"/>
        </w:rPr>
        <w:drawing>
          <wp:inline distT="0" distB="0" distL="0" distR="0">
            <wp:extent cx="6120130" cy="3205782"/>
            <wp:effectExtent l="19050" t="0" r="0" b="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0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73D" w:rsidRDefault="0055373D" w:rsidP="0055373D">
      <w:pPr>
        <w:tabs>
          <w:tab w:val="left" w:pos="2835"/>
        </w:tabs>
        <w:rPr>
          <w:rFonts w:ascii="JansonText-Roman" w:hAnsi="JansonText-Roman" w:cs="JansonText-Roman"/>
          <w:sz w:val="20"/>
          <w:szCs w:val="20"/>
          <w:lang w:val="en-US"/>
        </w:rPr>
      </w:pPr>
      <w:r>
        <w:rPr>
          <w:rFonts w:ascii="JansonText-Roman" w:hAnsi="JansonText-Roman" w:cs="JansonText-Roman"/>
          <w:noProof/>
          <w:sz w:val="20"/>
          <w:szCs w:val="20"/>
          <w:lang w:eastAsia="it-IT"/>
        </w:rPr>
        <w:drawing>
          <wp:inline distT="0" distB="0" distL="0" distR="0">
            <wp:extent cx="6120130" cy="2609555"/>
            <wp:effectExtent l="19050" t="0" r="0" b="0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0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422" w:rsidRP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KievitOT-Bold" w:hAnsi="KievitOT-Bold" w:cs="KievitOT-Bold"/>
          <w:b/>
          <w:bCs/>
          <w:color w:val="73A600"/>
          <w:sz w:val="24"/>
          <w:szCs w:val="24"/>
          <w:lang w:val="en-US"/>
        </w:rPr>
      </w:pPr>
      <w:r w:rsidRPr="00E75422">
        <w:rPr>
          <w:rFonts w:ascii="KievitOT-Bold" w:hAnsi="KievitOT-Bold" w:cs="KievitOT-Bold"/>
          <w:b/>
          <w:bCs/>
          <w:color w:val="73A600"/>
          <w:sz w:val="24"/>
          <w:szCs w:val="24"/>
          <w:lang w:val="en-US"/>
        </w:rPr>
        <w:t>OTHER LANDMARKS</w:t>
      </w:r>
    </w:p>
    <w:p w:rsidR="00E75422" w:rsidRP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color w:val="000000"/>
          <w:sz w:val="20"/>
          <w:szCs w:val="20"/>
          <w:lang w:val="en-US"/>
        </w:rPr>
      </w:pPr>
      <w:r w:rsidRPr="00E75422">
        <w:rPr>
          <w:rFonts w:ascii="JansonText-Roman" w:hAnsi="JansonText-Roman" w:cs="JansonText-Roman"/>
          <w:color w:val="000000"/>
          <w:sz w:val="20"/>
          <w:szCs w:val="20"/>
          <w:lang w:val="en-US"/>
        </w:rPr>
        <w:t>To study an individual tooth intelligently, one should recognize</w:t>
      </w:r>
      <w:r>
        <w:rPr>
          <w:rFonts w:ascii="JansonText-Roman" w:hAnsi="JansonText-Roman" w:cs="JansonText-Roman"/>
          <w:color w:val="000000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color w:val="000000"/>
          <w:sz w:val="20"/>
          <w:szCs w:val="20"/>
          <w:lang w:val="en-US"/>
        </w:rPr>
        <w:t>all landmarks of importance by name. Therefore, at</w:t>
      </w:r>
    </w:p>
    <w:p w:rsid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color w:val="000000"/>
          <w:sz w:val="20"/>
          <w:szCs w:val="20"/>
          <w:lang w:val="en-US"/>
        </w:rPr>
      </w:pPr>
      <w:r w:rsidRPr="00E75422">
        <w:rPr>
          <w:rFonts w:ascii="JansonText-Roman" w:hAnsi="JansonText-Roman" w:cs="JansonText-Roman"/>
          <w:color w:val="000000"/>
          <w:sz w:val="20"/>
          <w:szCs w:val="20"/>
          <w:lang w:val="en-US"/>
        </w:rPr>
        <w:t>this point it is necessary to become familiar with additional</w:t>
      </w:r>
      <w:r>
        <w:rPr>
          <w:rFonts w:ascii="JansonText-Roman" w:hAnsi="JansonText-Roman" w:cs="JansonText-Roman"/>
          <w:color w:val="000000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color w:val="000000"/>
          <w:sz w:val="20"/>
          <w:szCs w:val="20"/>
          <w:lang w:val="en-US"/>
        </w:rPr>
        <w:t>terms, such as the following:</w:t>
      </w:r>
    </w:p>
    <w:p w:rsidR="00E75422" w:rsidRP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E75422">
        <w:rPr>
          <w:rFonts w:ascii="JansonText-Roman" w:hAnsi="JansonText-Roman" w:cs="JansonText-Roman"/>
          <w:sz w:val="20"/>
          <w:szCs w:val="20"/>
          <w:lang w:val="en-US"/>
        </w:rPr>
        <w:t xml:space="preserve">A </w:t>
      </w:r>
      <w:r w:rsidRPr="00E75422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cusp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is an elevation or mound on the crown portion of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a tooth making up a divisional part of the occlusal surface</w:t>
      </w:r>
    </w:p>
    <w:p w:rsidR="00E75422" w:rsidRP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E75422">
        <w:rPr>
          <w:rFonts w:ascii="JansonText-Roman" w:hAnsi="JansonText-Roman" w:cs="JansonText-Roman"/>
          <w:sz w:val="20"/>
          <w:szCs w:val="20"/>
          <w:lang w:val="en-US"/>
        </w:rPr>
        <w:t>(Figures 1-4 and 1-9).</w:t>
      </w:r>
    </w:p>
    <w:p w:rsidR="00E75422" w:rsidRP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E75422">
        <w:rPr>
          <w:rFonts w:ascii="JansonText-Roman" w:hAnsi="JansonText-Roman" w:cs="JansonText-Roman"/>
          <w:sz w:val="20"/>
          <w:szCs w:val="20"/>
          <w:lang w:val="en-US"/>
        </w:rPr>
        <w:t xml:space="preserve">A </w:t>
      </w:r>
      <w:r w:rsidRPr="00E75422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tubercle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is a smaller elevation on some portion of the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crown produced by an extra formation of enamel (see Figure</w:t>
      </w:r>
    </w:p>
    <w:p w:rsidR="00E75422" w:rsidRP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E75422">
        <w:rPr>
          <w:rFonts w:ascii="JansonText-Roman" w:hAnsi="JansonText-Roman" w:cs="JansonText-Roman"/>
          <w:sz w:val="20"/>
          <w:szCs w:val="20"/>
          <w:lang w:val="en-US"/>
        </w:rPr>
        <w:t xml:space="preserve">4-14, </w:t>
      </w:r>
      <w:r w:rsidRPr="00E75422">
        <w:rPr>
          <w:rFonts w:ascii="JansonText-Italic" w:hAnsi="JansonText-Italic" w:cs="JansonText-Italic"/>
          <w:i/>
          <w:iCs/>
          <w:sz w:val="20"/>
          <w:szCs w:val="20"/>
          <w:lang w:val="en-US"/>
        </w:rPr>
        <w:t>A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). These are deviations from the typical form.</w:t>
      </w:r>
    </w:p>
    <w:p w:rsidR="00E75422" w:rsidRP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E75422">
        <w:rPr>
          <w:rFonts w:ascii="JansonText-Roman" w:hAnsi="JansonText-Roman" w:cs="JansonText-Roman"/>
          <w:sz w:val="20"/>
          <w:szCs w:val="20"/>
          <w:lang w:val="en-US"/>
        </w:rPr>
        <w:t xml:space="preserve">A </w:t>
      </w:r>
      <w:r w:rsidRPr="00E75422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cingulum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(Latin word for “girdle”) is the lingual lobe of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an anterior tooth. It makes up the bulk of the cervical third</w:t>
      </w:r>
    </w:p>
    <w:p w:rsidR="00E75422" w:rsidRP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E75422">
        <w:rPr>
          <w:rFonts w:ascii="JansonText-Roman" w:hAnsi="JansonText-Roman" w:cs="JansonText-Roman"/>
          <w:sz w:val="20"/>
          <w:szCs w:val="20"/>
          <w:lang w:val="en-US"/>
        </w:rPr>
        <w:t>of the lingual surface. Its convexity mesiodistally resembles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a girdle encircling the lingual surface at the cervical third</w:t>
      </w:r>
    </w:p>
    <w:p w:rsidR="00E75422" w:rsidRP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E75422">
        <w:rPr>
          <w:rFonts w:ascii="JansonText-Roman" w:hAnsi="JansonText-Roman" w:cs="JansonText-Roman"/>
          <w:sz w:val="20"/>
          <w:szCs w:val="20"/>
          <w:lang w:val="en-US"/>
        </w:rPr>
        <w:t xml:space="preserve">(see Figures 1-10 and 4-13, </w:t>
      </w:r>
      <w:r w:rsidRPr="00E75422">
        <w:rPr>
          <w:rFonts w:ascii="JansonText-Italic" w:hAnsi="JansonText-Italic" w:cs="JansonText-Italic"/>
          <w:i/>
          <w:iCs/>
          <w:sz w:val="20"/>
          <w:szCs w:val="20"/>
          <w:lang w:val="en-US"/>
        </w:rPr>
        <w:t>A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).</w:t>
      </w:r>
    </w:p>
    <w:p w:rsidR="00E75422" w:rsidRP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E75422">
        <w:rPr>
          <w:rFonts w:ascii="JansonText-Roman" w:hAnsi="JansonText-Roman" w:cs="JansonText-Roman"/>
          <w:sz w:val="20"/>
          <w:szCs w:val="20"/>
          <w:lang w:val="en-US"/>
        </w:rPr>
        <w:t xml:space="preserve">A </w:t>
      </w:r>
      <w:r w:rsidRPr="00E75422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ridge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is any linear elevation on the surface of a tooth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and is named according to its location (e.g., buccal ridge,</w:t>
      </w:r>
    </w:p>
    <w:p w:rsidR="00E75422" w:rsidRP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E75422">
        <w:rPr>
          <w:rFonts w:ascii="JansonText-Roman" w:hAnsi="JansonText-Roman" w:cs="JansonText-Roman"/>
          <w:sz w:val="20"/>
          <w:szCs w:val="20"/>
          <w:lang w:val="en-US"/>
        </w:rPr>
        <w:t>incisal ridge, marginal ridge).</w:t>
      </w:r>
    </w:p>
    <w:p w:rsid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E75422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Marginal ridges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are those rounded borders of the enamel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that form the mesial and distal margins of the occlusal</w:t>
      </w:r>
    </w:p>
    <w:p w:rsidR="00E75422" w:rsidRP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color w:val="231F20"/>
          <w:sz w:val="20"/>
          <w:szCs w:val="20"/>
          <w:lang w:val="en-US"/>
        </w:rPr>
      </w:pP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surfaces of premolars and molars and the mesial and distal</w:t>
      </w:r>
      <w:r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margins of the lingual surfaces of the incisors and canines</w:t>
      </w:r>
    </w:p>
    <w:p w:rsidR="00E75422" w:rsidRP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color w:val="231F20"/>
          <w:sz w:val="20"/>
          <w:szCs w:val="20"/>
          <w:lang w:val="en-US"/>
        </w:rPr>
      </w:pP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( Figures 1-10, </w:t>
      </w:r>
      <w:r w:rsidRPr="00E75422">
        <w:rPr>
          <w:rFonts w:ascii="JansonText-Italic" w:hAnsi="JansonText-Italic" w:cs="JansonText-Italic"/>
          <w:i/>
          <w:iCs/>
          <w:color w:val="231F20"/>
          <w:sz w:val="20"/>
          <w:szCs w:val="20"/>
          <w:lang w:val="en-US"/>
        </w:rPr>
        <w:t xml:space="preserve">A,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and 1-11 ).</w:t>
      </w:r>
    </w:p>
    <w:p w:rsidR="00E75422" w:rsidRP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color w:val="231F20"/>
          <w:sz w:val="20"/>
          <w:szCs w:val="20"/>
          <w:lang w:val="en-US"/>
        </w:rPr>
      </w:pPr>
      <w:r w:rsidRPr="00E75422">
        <w:rPr>
          <w:rFonts w:ascii="OfficinaSansStd-Bold" w:hAnsi="OfficinaSansStd-Bold" w:cs="OfficinaSansStd-Bold"/>
          <w:b/>
          <w:bCs/>
          <w:color w:val="231F20"/>
          <w:sz w:val="18"/>
          <w:szCs w:val="18"/>
          <w:lang w:val="en-US"/>
        </w:rPr>
        <w:t xml:space="preserve">Triangular ridges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descend from the tips of the cusps of</w:t>
      </w:r>
      <w:r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molars and premolars toward the central part of the occlusal</w:t>
      </w:r>
    </w:p>
    <w:p w:rsidR="00E75422" w:rsidRP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color w:val="231F20"/>
          <w:sz w:val="20"/>
          <w:szCs w:val="20"/>
          <w:lang w:val="en-US"/>
        </w:rPr>
      </w:pP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surfaces. They are so named because the slopes of each side</w:t>
      </w:r>
      <w:r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of the ridge are inclined to resemble two sides of a triangle</w:t>
      </w:r>
    </w:p>
    <w:p w:rsidR="00E75422" w:rsidRP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color w:val="231F20"/>
          <w:sz w:val="20"/>
          <w:szCs w:val="20"/>
          <w:lang w:val="en-US"/>
        </w:rPr>
      </w:pP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lastRenderedPageBreak/>
        <w:t xml:space="preserve">( Figures 1-11, </w:t>
      </w:r>
      <w:r w:rsidRPr="00E75422">
        <w:rPr>
          <w:rFonts w:ascii="JansonText-Italic" w:hAnsi="JansonText-Italic" w:cs="JansonText-Italic"/>
          <w:i/>
          <w:iCs/>
          <w:color w:val="231F20"/>
          <w:sz w:val="20"/>
          <w:szCs w:val="20"/>
          <w:lang w:val="en-US"/>
        </w:rPr>
        <w:t xml:space="preserve">B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and </w:t>
      </w:r>
      <w:r w:rsidRPr="00E75422">
        <w:rPr>
          <w:rFonts w:ascii="JansonText-Italic" w:hAnsi="JansonText-Italic" w:cs="JansonText-Italic"/>
          <w:i/>
          <w:iCs/>
          <w:color w:val="231F20"/>
          <w:sz w:val="20"/>
          <w:szCs w:val="20"/>
          <w:lang w:val="en-US"/>
        </w:rPr>
        <w:t xml:space="preserve">C,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and 1-12 ). They are named after the</w:t>
      </w:r>
      <w:r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cusps to which they belong, for example, the triangular ridge</w:t>
      </w:r>
      <w:r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of the buccal cusp of the maxillary fi rst premolar.</w:t>
      </w:r>
      <w:r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When a buccal and a lingual triangular ridge join, they</w:t>
      </w:r>
    </w:p>
    <w:p w:rsid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color w:val="231F20"/>
          <w:sz w:val="20"/>
          <w:szCs w:val="20"/>
          <w:lang w:val="en-US"/>
        </w:rPr>
      </w:pP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form a </w:t>
      </w:r>
      <w:r w:rsidRPr="00E75422">
        <w:rPr>
          <w:rFonts w:ascii="OfficinaSansStd-Bold" w:hAnsi="OfficinaSansStd-Bold" w:cs="OfficinaSansStd-Bold"/>
          <w:b/>
          <w:bCs/>
          <w:color w:val="231F20"/>
          <w:sz w:val="18"/>
          <w:szCs w:val="18"/>
          <w:lang w:val="en-US"/>
        </w:rPr>
        <w:t xml:space="preserve">transverse ridge.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A transverse ridge is the union of two</w:t>
      </w:r>
      <w:r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triangular ridges crossing transversely the surface of a posterior</w:t>
      </w:r>
      <w:r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tooth ( Figure 1-11, </w:t>
      </w:r>
      <w:r w:rsidRPr="00E75422">
        <w:rPr>
          <w:rFonts w:ascii="JansonText-Italic" w:hAnsi="JansonText-Italic" w:cs="JansonText-Italic"/>
          <w:i/>
          <w:iCs/>
          <w:color w:val="231F20"/>
          <w:sz w:val="20"/>
          <w:szCs w:val="20"/>
          <w:lang w:val="en-US"/>
        </w:rPr>
        <w:t xml:space="preserve">B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and </w:t>
      </w:r>
      <w:r w:rsidRPr="00E75422">
        <w:rPr>
          <w:rFonts w:ascii="JansonText-Italic" w:hAnsi="JansonText-Italic" w:cs="JansonText-Italic"/>
          <w:i/>
          <w:iCs/>
          <w:color w:val="231F20"/>
          <w:sz w:val="20"/>
          <w:szCs w:val="20"/>
          <w:lang w:val="en-US"/>
        </w:rPr>
        <w:t xml:space="preserve">C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).</w:t>
      </w:r>
    </w:p>
    <w:p w:rsid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color w:val="231F20"/>
          <w:sz w:val="20"/>
          <w:szCs w:val="20"/>
          <w:lang w:val="en-US"/>
        </w:rPr>
      </w:pPr>
      <w:r>
        <w:rPr>
          <w:rFonts w:ascii="JansonText-Roman" w:hAnsi="JansonText-Roman" w:cs="JansonText-Roman"/>
          <w:noProof/>
          <w:color w:val="231F20"/>
          <w:sz w:val="20"/>
          <w:szCs w:val="20"/>
          <w:lang w:eastAsia="it-IT"/>
        </w:rPr>
        <w:drawing>
          <wp:inline distT="0" distB="0" distL="0" distR="0">
            <wp:extent cx="6038850" cy="4438650"/>
            <wp:effectExtent l="19050" t="0" r="0" b="0"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color w:val="231F20"/>
          <w:sz w:val="20"/>
          <w:szCs w:val="20"/>
          <w:lang w:val="en-US"/>
        </w:rPr>
      </w:pPr>
    </w:p>
    <w:p w:rsidR="00E75422" w:rsidRDefault="00F5663F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color w:val="231F20"/>
          <w:sz w:val="20"/>
          <w:szCs w:val="20"/>
          <w:lang w:val="en-US"/>
        </w:rPr>
      </w:pPr>
      <w:r w:rsidRPr="00F5663F">
        <w:rPr>
          <w:rFonts w:ascii="JansonText-Roman" w:hAnsi="JansonText-Roman" w:cs="JansonText-Roman"/>
          <w:noProof/>
          <w:color w:val="231F20"/>
          <w:sz w:val="20"/>
          <w:szCs w:val="20"/>
          <w:lang w:eastAsia="it-IT"/>
        </w:rPr>
        <w:drawing>
          <wp:inline distT="0" distB="0" distL="0" distR="0">
            <wp:extent cx="2819400" cy="2962275"/>
            <wp:effectExtent l="19050" t="0" r="0" b="0"/>
            <wp:docPr id="2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color w:val="231F20"/>
          <w:sz w:val="20"/>
          <w:szCs w:val="20"/>
          <w:lang w:val="en-US"/>
        </w:rPr>
      </w:pPr>
    </w:p>
    <w:p w:rsidR="00E75422" w:rsidRP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color w:val="231F20"/>
          <w:sz w:val="20"/>
          <w:szCs w:val="20"/>
          <w:lang w:val="en-US"/>
        </w:rPr>
      </w:pP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The </w:t>
      </w:r>
      <w:r w:rsidRPr="00E75422">
        <w:rPr>
          <w:rFonts w:ascii="OfficinaSansStd-Bold" w:hAnsi="OfficinaSansStd-Bold" w:cs="OfficinaSansStd-Bold"/>
          <w:b/>
          <w:bCs/>
          <w:color w:val="231F20"/>
          <w:sz w:val="18"/>
          <w:szCs w:val="18"/>
          <w:lang w:val="en-US"/>
        </w:rPr>
        <w:t xml:space="preserve">oblique ridge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is a ridge crossing obliquely the occlusal</w:t>
      </w:r>
      <w:r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surfaces of maxillary molars and formed by the union of the</w:t>
      </w:r>
      <w:r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triangular ridge of the distobuccal cusp and the distal cusp</w:t>
      </w:r>
      <w:r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ridge of the mesiolingual cusp ( Figure 1-9 ).</w:t>
      </w:r>
    </w:p>
    <w:p w:rsidR="00E75422" w:rsidRP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OfficinaSansStd-Bold" w:hAnsi="OfficinaSansStd-Bold" w:cs="OfficinaSansStd-Bold"/>
          <w:b/>
          <w:bCs/>
          <w:color w:val="231F20"/>
          <w:sz w:val="18"/>
          <w:szCs w:val="18"/>
          <w:lang w:val="en-US"/>
        </w:rPr>
      </w:pP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A </w:t>
      </w:r>
      <w:r w:rsidRPr="00E75422">
        <w:rPr>
          <w:rFonts w:ascii="OfficinaSansStd-Bold" w:hAnsi="OfficinaSansStd-Bold" w:cs="OfficinaSansStd-Bold"/>
          <w:b/>
          <w:bCs/>
          <w:color w:val="231F20"/>
          <w:sz w:val="18"/>
          <w:szCs w:val="18"/>
          <w:lang w:val="en-US"/>
        </w:rPr>
        <w:t xml:space="preserve">fossa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is an irregular depression or concavity. </w:t>
      </w:r>
      <w:r>
        <w:rPr>
          <w:rFonts w:ascii="OfficinaSansStd-Bold" w:hAnsi="OfficinaSansStd-Bold" w:cs="OfficinaSansStd-Bold"/>
          <w:b/>
          <w:bCs/>
          <w:color w:val="231F20"/>
          <w:sz w:val="18"/>
          <w:szCs w:val="18"/>
          <w:lang w:val="en-US"/>
        </w:rPr>
        <w:t xml:space="preserve">Lingual </w:t>
      </w:r>
      <w:r w:rsidRPr="00E75422">
        <w:rPr>
          <w:rFonts w:ascii="OfficinaSansStd-Bold" w:hAnsi="OfficinaSansStd-Bold" w:cs="OfficinaSansStd-Bold"/>
          <w:b/>
          <w:bCs/>
          <w:color w:val="231F20"/>
          <w:sz w:val="18"/>
          <w:szCs w:val="18"/>
          <w:lang w:val="en-US"/>
        </w:rPr>
        <w:t xml:space="preserve">fossae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are on the lingual surface of incisors ( Figure 1-10 ).</w:t>
      </w:r>
    </w:p>
    <w:p w:rsidR="00E75422" w:rsidRP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color w:val="231F20"/>
          <w:sz w:val="20"/>
          <w:szCs w:val="20"/>
          <w:lang w:val="en-US"/>
        </w:rPr>
      </w:pPr>
      <w:r w:rsidRPr="00E75422">
        <w:rPr>
          <w:rFonts w:ascii="OfficinaSansStd-Bold" w:hAnsi="OfficinaSansStd-Bold" w:cs="OfficinaSansStd-Bold"/>
          <w:b/>
          <w:bCs/>
          <w:color w:val="231F20"/>
          <w:sz w:val="18"/>
          <w:szCs w:val="18"/>
          <w:lang w:val="en-US"/>
        </w:rPr>
        <w:t xml:space="preserve">Central fossae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are on the occlusal surface of molars. They are</w:t>
      </w:r>
      <w:r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formed by the convergence of ridges terminating at a central</w:t>
      </w:r>
      <w:r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point in the bottom of the depression where there is a junction</w:t>
      </w:r>
      <w:r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of grooves ( Figure 1-12 ). </w:t>
      </w:r>
      <w:r w:rsidRPr="00E75422">
        <w:rPr>
          <w:rFonts w:ascii="OfficinaSansStd-Bold" w:hAnsi="OfficinaSansStd-Bold" w:cs="OfficinaSansStd-Bold"/>
          <w:b/>
          <w:bCs/>
          <w:color w:val="231F20"/>
          <w:sz w:val="18"/>
          <w:szCs w:val="18"/>
          <w:lang w:val="en-US"/>
        </w:rPr>
        <w:t xml:space="preserve">Triangular fossae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are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lastRenderedPageBreak/>
        <w:t>found on</w:t>
      </w:r>
      <w:r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molars and premolars on the occlusal surfaces mesial or</w:t>
      </w:r>
      <w:r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distal to marginal ridges ( Figure 1-9 ). They are sometimes</w:t>
      </w:r>
      <w:r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found on the lingual surfaces of maxillary incisors at the</w:t>
      </w:r>
      <w:r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edge of the lingual fossae where the marginal ridges and the</w:t>
      </w:r>
      <w:r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cingulum meet (see Figure 4-14, </w:t>
      </w:r>
      <w:r w:rsidRPr="00E75422">
        <w:rPr>
          <w:rFonts w:ascii="JansonText-Italic" w:hAnsi="JansonText-Italic" w:cs="JansonText-Italic"/>
          <w:i/>
          <w:iCs/>
          <w:color w:val="231F20"/>
          <w:sz w:val="20"/>
          <w:szCs w:val="20"/>
          <w:lang w:val="en-US"/>
        </w:rPr>
        <w:t xml:space="preserve">A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).</w:t>
      </w:r>
    </w:p>
    <w:p w:rsidR="00E75422" w:rsidRP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color w:val="231F20"/>
          <w:sz w:val="20"/>
          <w:szCs w:val="20"/>
          <w:lang w:val="en-US"/>
        </w:rPr>
      </w:pP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A </w:t>
      </w:r>
      <w:r w:rsidRPr="00E75422">
        <w:rPr>
          <w:rFonts w:ascii="OfficinaSansStd-Bold" w:hAnsi="OfficinaSansStd-Bold" w:cs="OfficinaSansStd-Bold"/>
          <w:b/>
          <w:bCs/>
          <w:color w:val="231F20"/>
          <w:sz w:val="18"/>
          <w:szCs w:val="18"/>
          <w:lang w:val="en-US"/>
        </w:rPr>
        <w:t xml:space="preserve">sulcus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is a long depression or valley in the surface of a</w:t>
      </w:r>
      <w:r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tooth between ridges and cusps, the inclines of which meet</w:t>
      </w:r>
    </w:p>
    <w:p w:rsidR="00E75422" w:rsidRP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color w:val="231F20"/>
          <w:sz w:val="20"/>
          <w:szCs w:val="20"/>
          <w:lang w:val="en-US"/>
        </w:rPr>
      </w:pP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at an angle. A sulcus has a developmental groove at the</w:t>
      </w:r>
      <w:r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junction of its inclines. (The term </w:t>
      </w:r>
      <w:r w:rsidRPr="00E75422">
        <w:rPr>
          <w:rFonts w:ascii="JansonText-Italic" w:hAnsi="JansonText-Italic" w:cs="JansonText-Italic"/>
          <w:i/>
          <w:iCs/>
          <w:color w:val="231F20"/>
          <w:sz w:val="20"/>
          <w:szCs w:val="20"/>
          <w:lang w:val="en-US"/>
        </w:rPr>
        <w:t xml:space="preserve">sulcus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should not be confused</w:t>
      </w:r>
    </w:p>
    <w:p w:rsidR="00E75422" w:rsidRP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color w:val="231F20"/>
          <w:sz w:val="20"/>
          <w:szCs w:val="20"/>
          <w:lang w:val="en-US"/>
        </w:rPr>
      </w:pP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with the term </w:t>
      </w:r>
      <w:r w:rsidRPr="00E75422">
        <w:rPr>
          <w:rFonts w:ascii="JansonText-Italic" w:hAnsi="JansonText-Italic" w:cs="JansonText-Italic"/>
          <w:i/>
          <w:iCs/>
          <w:color w:val="231F20"/>
          <w:sz w:val="20"/>
          <w:szCs w:val="20"/>
          <w:lang w:val="en-US"/>
        </w:rPr>
        <w:t xml:space="preserve">groove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.)</w:t>
      </w:r>
    </w:p>
    <w:p w:rsidR="00E75422" w:rsidRP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A </w:t>
      </w:r>
      <w:r w:rsidRPr="00E75422">
        <w:rPr>
          <w:rFonts w:ascii="OfficinaSansStd-Bold" w:hAnsi="OfficinaSansStd-Bold" w:cs="OfficinaSansStd-Bold"/>
          <w:b/>
          <w:bCs/>
          <w:color w:val="231F20"/>
          <w:sz w:val="18"/>
          <w:szCs w:val="18"/>
          <w:lang w:val="en-US"/>
        </w:rPr>
        <w:t xml:space="preserve">developmental groove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is a</w:t>
      </w:r>
      <w:r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 shallow groove or line between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the primary parts of the crown or root. A </w:t>
      </w:r>
      <w:r w:rsidRPr="00E75422">
        <w:rPr>
          <w:rFonts w:ascii="OfficinaSansStd-Bold" w:hAnsi="OfficinaSansStd-Bold" w:cs="OfficinaSansStd-Bold"/>
          <w:b/>
          <w:bCs/>
          <w:color w:val="231F20"/>
          <w:sz w:val="18"/>
          <w:szCs w:val="18"/>
          <w:lang w:val="en-US"/>
        </w:rPr>
        <w:t>supplemental groove,</w:t>
      </w:r>
      <w:r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less distinct, is also a shallow linear depression on the surface</w:t>
      </w:r>
      <w:r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of a tooth, but it is supplemental to a developmental groove</w:t>
      </w:r>
      <w:r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and does not mark the junction of primary parts. </w:t>
      </w:r>
      <w:r w:rsidRPr="00E75422">
        <w:rPr>
          <w:rFonts w:ascii="OfficinaSansStd-Bold" w:hAnsi="OfficinaSansStd-Bold" w:cs="OfficinaSansStd-Bold"/>
          <w:b/>
          <w:bCs/>
          <w:color w:val="231F20"/>
          <w:sz w:val="18"/>
          <w:szCs w:val="18"/>
          <w:lang w:val="en-US"/>
        </w:rPr>
        <w:t xml:space="preserve">Buccal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and</w:t>
      </w:r>
      <w:r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 </w:t>
      </w:r>
      <w:r w:rsidRPr="00E75422">
        <w:rPr>
          <w:rFonts w:ascii="OfficinaSansStd-Bold" w:hAnsi="OfficinaSansStd-Bold" w:cs="OfficinaSansStd-Bold"/>
          <w:b/>
          <w:bCs/>
          <w:color w:val="231F20"/>
          <w:sz w:val="18"/>
          <w:szCs w:val="18"/>
          <w:lang w:val="en-US"/>
        </w:rPr>
        <w:t xml:space="preserve">lingual grooves </w:t>
      </w:r>
      <w:r w:rsidRPr="00E75422">
        <w:rPr>
          <w:rFonts w:ascii="JansonText-Roman" w:hAnsi="JansonText-Roman" w:cs="JansonText-Roman"/>
          <w:color w:val="231F20"/>
          <w:sz w:val="20"/>
          <w:szCs w:val="20"/>
          <w:lang w:val="en-US"/>
        </w:rPr>
        <w:t>are developmental grooves found on the</w:t>
      </w:r>
      <w:r>
        <w:rPr>
          <w:rFonts w:ascii="JansonText-Roman" w:hAnsi="JansonText-Roman" w:cs="JansonText-Roman"/>
          <w:color w:val="231F20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buccal and lingual surfaces of posterior teeth (Figures 1-9</w:t>
      </w:r>
    </w:p>
    <w:p w:rsidR="00E75422" w:rsidRP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E75422">
        <w:rPr>
          <w:rFonts w:ascii="JansonText-Roman" w:hAnsi="JansonText-Roman" w:cs="JansonText-Roman"/>
          <w:sz w:val="20"/>
          <w:szCs w:val="20"/>
          <w:lang w:val="en-US"/>
        </w:rPr>
        <w:t>and 1-12).</w:t>
      </w:r>
    </w:p>
    <w:p w:rsidR="00E75422" w:rsidRP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E75422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Pits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are small pinpoint depressions located at the junction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of developmental grooves or at terminals of those grooves.</w:t>
      </w:r>
    </w:p>
    <w:p w:rsidR="00E75422" w:rsidRP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E75422">
        <w:rPr>
          <w:rFonts w:ascii="JansonText-Roman" w:hAnsi="JansonText-Roman" w:cs="JansonText-Roman"/>
          <w:sz w:val="20"/>
          <w:szCs w:val="20"/>
          <w:lang w:val="en-US"/>
        </w:rPr>
        <w:t xml:space="preserve">For instance, </w:t>
      </w:r>
      <w:r w:rsidRPr="00E75422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central pit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is a term used to describe a landmark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in the central fossa of molars where developmental grooves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 xml:space="preserve">join (Figure 1-11, </w:t>
      </w:r>
      <w:r w:rsidRPr="00E75422">
        <w:rPr>
          <w:rFonts w:ascii="JansonText-Italic" w:hAnsi="JansonText-Italic" w:cs="JansonText-Italic"/>
          <w:i/>
          <w:iCs/>
          <w:sz w:val="20"/>
          <w:szCs w:val="20"/>
          <w:lang w:val="en-US"/>
        </w:rPr>
        <w:t>C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).</w:t>
      </w:r>
    </w:p>
    <w:p w:rsidR="00E75422" w:rsidRP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E75422">
        <w:rPr>
          <w:rFonts w:ascii="JansonText-Roman" w:hAnsi="JansonText-Roman" w:cs="JansonText-Roman"/>
          <w:sz w:val="20"/>
          <w:szCs w:val="20"/>
          <w:lang w:val="en-US"/>
        </w:rPr>
        <w:t xml:space="preserve">A </w:t>
      </w:r>
      <w:r w:rsidRPr="00E75422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lobe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is one of the primary sections of formation in the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development of the crown. Cusps and mamelons are representative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 xml:space="preserve">of lobes. A </w:t>
      </w:r>
      <w:r w:rsidRPr="00E75422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mamelon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is any one of the three rounded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protuberances found on the incisal ridges of newly erupted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 xml:space="preserve">incisor teeth (Figure 1-10, </w:t>
      </w:r>
      <w:r w:rsidRPr="00E75422">
        <w:rPr>
          <w:rFonts w:ascii="JansonText-Italic" w:hAnsi="JansonText-Italic" w:cs="JansonText-Italic"/>
          <w:i/>
          <w:iCs/>
          <w:sz w:val="20"/>
          <w:szCs w:val="20"/>
          <w:lang w:val="en-US"/>
        </w:rPr>
        <w:t>B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). (For further description of</w:t>
      </w:r>
    </w:p>
    <w:p w:rsid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E75422">
        <w:rPr>
          <w:rFonts w:ascii="JansonText-Roman" w:hAnsi="JansonText-Roman" w:cs="JansonText-Roman"/>
          <w:sz w:val="20"/>
          <w:szCs w:val="20"/>
          <w:lang w:val="en-US"/>
        </w:rPr>
        <w:t>lobes, see Figures 4-11 through 4-14).</w:t>
      </w:r>
    </w:p>
    <w:p w:rsidR="00E75422" w:rsidRP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E75422">
        <w:rPr>
          <w:rFonts w:ascii="JansonText-Roman" w:hAnsi="JansonText-Roman" w:cs="JansonText-Roman"/>
          <w:sz w:val="20"/>
          <w:szCs w:val="20"/>
          <w:lang w:val="en-US"/>
        </w:rPr>
        <w:t xml:space="preserve">The </w:t>
      </w:r>
      <w:r w:rsidRPr="00E75422">
        <w:rPr>
          <w:rFonts w:ascii="OfficinaSansStd-Bold" w:hAnsi="OfficinaSansStd-Bold" w:cs="OfficinaSansStd-Bold"/>
          <w:b/>
          <w:bCs/>
          <w:sz w:val="18"/>
          <w:szCs w:val="18"/>
          <w:lang w:val="en-US"/>
        </w:rPr>
        <w:t xml:space="preserve">roots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of the teeth may be single or multiple. Both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maxillary and mandibular anterior teeth have only one root</w:t>
      </w:r>
    </w:p>
    <w:p w:rsidR="00E75422" w:rsidRP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E75422">
        <w:rPr>
          <w:rFonts w:ascii="JansonText-Roman" w:hAnsi="JansonText-Roman" w:cs="JansonText-Roman"/>
          <w:sz w:val="20"/>
          <w:szCs w:val="20"/>
          <w:lang w:val="en-US"/>
        </w:rPr>
        <w:t>each. Mandibular first and second premolars and the maxillary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second premolar are single rooted, but the maxillary</w:t>
      </w:r>
    </w:p>
    <w:p w:rsidR="00E75422" w:rsidRP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sz w:val="20"/>
          <w:szCs w:val="20"/>
          <w:lang w:val="en-US"/>
        </w:rPr>
      </w:pPr>
      <w:r w:rsidRPr="00E75422">
        <w:rPr>
          <w:rFonts w:ascii="JansonText-Roman" w:hAnsi="JansonText-Roman" w:cs="JansonText-Roman"/>
          <w:sz w:val="20"/>
          <w:szCs w:val="20"/>
          <w:lang w:val="en-US"/>
        </w:rPr>
        <w:t>first premolar has two roots in most cases, one buccal and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one lingual. Maxillary molars have three roots, one mesiobuccal,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one distobuccal, and one lingual. Mandibular molars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have two roots, one mesial and one distal. It must be understood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that description in anatomy can never follow a hardand-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fast rule. Variations frequently occur. This is especially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true regarding tooth roots, for example, facial and lingual</w:t>
      </w:r>
      <w:r>
        <w:rPr>
          <w:rFonts w:ascii="JansonText-Roman" w:hAnsi="JansonText-Roman" w:cs="JansonText-Roman"/>
          <w:sz w:val="20"/>
          <w:szCs w:val="20"/>
          <w:lang w:val="en-US"/>
        </w:rPr>
        <w:t xml:space="preserve"> </w:t>
      </w:r>
      <w:r w:rsidRPr="00E75422">
        <w:rPr>
          <w:rFonts w:ascii="JansonText-Roman" w:hAnsi="JansonText-Roman" w:cs="JansonText-Roman"/>
          <w:sz w:val="20"/>
          <w:szCs w:val="20"/>
          <w:lang w:val="en-US"/>
        </w:rPr>
        <w:t>roots of the mandibular canine.</w:t>
      </w:r>
    </w:p>
    <w:p w:rsidR="00E75422" w:rsidRPr="00E75422" w:rsidRDefault="00E75422" w:rsidP="00E75422">
      <w:pPr>
        <w:autoSpaceDE w:val="0"/>
        <w:autoSpaceDN w:val="0"/>
        <w:adjustRightInd w:val="0"/>
        <w:spacing w:after="0" w:line="240" w:lineRule="auto"/>
        <w:rPr>
          <w:rFonts w:ascii="JansonText-Roman" w:hAnsi="JansonText-Roman" w:cs="JansonText-Roman"/>
          <w:color w:val="000000"/>
          <w:sz w:val="20"/>
          <w:szCs w:val="20"/>
          <w:lang w:val="en-US"/>
        </w:rPr>
      </w:pPr>
    </w:p>
    <w:p w:rsidR="00F5663F" w:rsidRPr="00266CDA" w:rsidRDefault="00F5663F" w:rsidP="0055373D">
      <w:pPr>
        <w:tabs>
          <w:tab w:val="left" w:pos="2835"/>
        </w:tabs>
        <w:rPr>
          <w:rFonts w:ascii="JansonText-Roman" w:hAnsi="JansonText-Roman" w:cs="JansonText-Roman"/>
          <w:noProof/>
          <w:sz w:val="20"/>
          <w:szCs w:val="20"/>
          <w:lang w:val="en-US" w:eastAsia="it-IT"/>
        </w:rPr>
      </w:pPr>
    </w:p>
    <w:p w:rsidR="00E75422" w:rsidRPr="0055373D" w:rsidRDefault="00F5663F" w:rsidP="0055373D">
      <w:pPr>
        <w:tabs>
          <w:tab w:val="left" w:pos="2835"/>
        </w:tabs>
        <w:rPr>
          <w:rFonts w:ascii="JansonText-Roman" w:hAnsi="JansonText-Roman" w:cs="JansonText-Roman"/>
          <w:sz w:val="20"/>
          <w:szCs w:val="20"/>
          <w:lang w:val="en-US"/>
        </w:rPr>
      </w:pPr>
      <w:r>
        <w:rPr>
          <w:rFonts w:ascii="JansonText-Roman" w:hAnsi="JansonText-Roman" w:cs="JansonText-Roman"/>
          <w:noProof/>
          <w:sz w:val="20"/>
          <w:szCs w:val="20"/>
          <w:lang w:eastAsia="it-IT"/>
        </w:rPr>
        <w:drawing>
          <wp:inline distT="0" distB="0" distL="0" distR="0">
            <wp:extent cx="5934075" cy="4972050"/>
            <wp:effectExtent l="19050" t="0" r="9525" b="0"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5422" w:rsidRPr="0055373D" w:rsidSect="0073635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ievitOT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KievitOT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JansonText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OfficinaSansSt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JansonText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KievitOT-Medium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compat/>
  <w:rsids>
    <w:rsidRoot w:val="007C6906"/>
    <w:rsid w:val="00056359"/>
    <w:rsid w:val="00074B26"/>
    <w:rsid w:val="00266CDA"/>
    <w:rsid w:val="004D2792"/>
    <w:rsid w:val="0055373D"/>
    <w:rsid w:val="006201E1"/>
    <w:rsid w:val="007066E6"/>
    <w:rsid w:val="00736352"/>
    <w:rsid w:val="007C6906"/>
    <w:rsid w:val="00AA53B2"/>
    <w:rsid w:val="00B70009"/>
    <w:rsid w:val="00CB06DA"/>
    <w:rsid w:val="00E75422"/>
    <w:rsid w:val="00F566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3635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C6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C6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2807</Words>
  <Characters>16003</Characters>
  <Application>Microsoft Office Word</Application>
  <DocSecurity>0</DocSecurity>
  <Lines>133</Lines>
  <Paragraphs>37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Utente</cp:lastModifiedBy>
  <cp:revision>2</cp:revision>
  <cp:lastPrinted>2014-03-09T11:44:00Z</cp:lastPrinted>
  <dcterms:created xsi:type="dcterms:W3CDTF">2018-05-03T07:36:00Z</dcterms:created>
  <dcterms:modified xsi:type="dcterms:W3CDTF">2018-05-03T07:36:00Z</dcterms:modified>
</cp:coreProperties>
</file>