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1B" w:rsidRDefault="0098451B" w:rsidP="0098451B">
      <w:pPr>
        <w:jc w:val="center"/>
        <w:rPr>
          <w:b/>
          <w:bCs/>
          <w:sz w:val="36"/>
          <w:szCs w:val="36"/>
        </w:rPr>
      </w:pPr>
      <w:bookmarkStart w:id="0" w:name="_GoBack"/>
      <w:bookmarkEnd w:id="0"/>
    </w:p>
    <w:p w:rsidR="0098451B" w:rsidRDefault="0098451B" w:rsidP="0098451B">
      <w:pPr>
        <w:jc w:val="center"/>
        <w:rPr>
          <w:b/>
          <w:bCs/>
          <w:sz w:val="36"/>
          <w:szCs w:val="36"/>
        </w:rPr>
      </w:pPr>
    </w:p>
    <w:p w:rsidR="0098451B" w:rsidRDefault="0098451B" w:rsidP="0098451B">
      <w:pPr>
        <w:jc w:val="center"/>
        <w:rPr>
          <w:b/>
          <w:bCs/>
          <w:sz w:val="36"/>
          <w:szCs w:val="36"/>
        </w:rPr>
      </w:pPr>
    </w:p>
    <w:p w:rsidR="0098451B" w:rsidRPr="00C02F66" w:rsidRDefault="00044A0C" w:rsidP="0098451B">
      <w:pPr>
        <w:jc w:val="center"/>
        <w:rPr>
          <w:b/>
          <w:bCs/>
          <w:sz w:val="36"/>
          <w:szCs w:val="36"/>
        </w:rPr>
      </w:pPr>
      <w:r>
        <w:rPr>
          <w:b/>
          <w:bCs/>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36pt;width:1in;height:64.4pt;z-index:251658240">
            <v:imagedata r:id="rId5" o:title=""/>
            <w10:wrap type="topAndBottom"/>
          </v:shape>
          <o:OLEObject Type="Embed" ProgID="PBrush" ShapeID="_x0000_s1026" DrawAspect="Content" ObjectID="_1588413633" r:id="rId6"/>
        </w:object>
      </w:r>
      <w:r w:rsidR="0098451B" w:rsidRPr="00C02F66">
        <w:rPr>
          <w:b/>
          <w:bCs/>
          <w:sz w:val="36"/>
          <w:szCs w:val="36"/>
        </w:rPr>
        <w:t>Univer</w:t>
      </w:r>
      <w:r w:rsidR="0098451B">
        <w:rPr>
          <w:b/>
          <w:bCs/>
          <w:sz w:val="36"/>
          <w:szCs w:val="36"/>
        </w:rPr>
        <w:t xml:space="preserve">sità degli Studi “Magna </w:t>
      </w:r>
      <w:proofErr w:type="spellStart"/>
      <w:r w:rsidR="0098451B">
        <w:rPr>
          <w:b/>
          <w:bCs/>
          <w:sz w:val="36"/>
          <w:szCs w:val="36"/>
        </w:rPr>
        <w:t>Graecia</w:t>
      </w:r>
      <w:proofErr w:type="spellEnd"/>
    </w:p>
    <w:p w:rsidR="0098451B" w:rsidRPr="00C02F66" w:rsidRDefault="0098451B" w:rsidP="0098451B">
      <w:pPr>
        <w:jc w:val="center"/>
        <w:rPr>
          <w:b/>
          <w:bCs/>
          <w:sz w:val="36"/>
          <w:szCs w:val="36"/>
        </w:rPr>
      </w:pPr>
      <w:proofErr w:type="gramStart"/>
      <w:r w:rsidRPr="00C02F66">
        <w:rPr>
          <w:b/>
          <w:bCs/>
          <w:sz w:val="36"/>
          <w:szCs w:val="36"/>
        </w:rPr>
        <w:t>di</w:t>
      </w:r>
      <w:proofErr w:type="gramEnd"/>
      <w:r w:rsidRPr="00C02F66">
        <w:rPr>
          <w:b/>
          <w:bCs/>
          <w:sz w:val="36"/>
          <w:szCs w:val="36"/>
        </w:rPr>
        <w:t xml:space="preserve"> Catanzaro </w:t>
      </w:r>
    </w:p>
    <w:p w:rsidR="0098451B" w:rsidRPr="0000678F" w:rsidRDefault="0098451B" w:rsidP="0098451B">
      <w:pPr>
        <w:jc w:val="center"/>
        <w:rPr>
          <w:b/>
          <w:sz w:val="28"/>
          <w:szCs w:val="28"/>
        </w:rPr>
      </w:pPr>
      <w:r>
        <w:rPr>
          <w:b/>
          <w:sz w:val="28"/>
          <w:szCs w:val="28"/>
        </w:rPr>
        <w:t xml:space="preserve">Scuola </w:t>
      </w:r>
      <w:r w:rsidRPr="0000678F">
        <w:rPr>
          <w:b/>
          <w:sz w:val="28"/>
          <w:szCs w:val="28"/>
        </w:rPr>
        <w:t>di Medicina e Chirurgia</w:t>
      </w:r>
    </w:p>
    <w:p w:rsidR="0098451B" w:rsidRPr="000A0492" w:rsidRDefault="0098451B" w:rsidP="0098451B">
      <w:pPr>
        <w:jc w:val="center"/>
        <w:rPr>
          <w:b/>
          <w:sz w:val="28"/>
          <w:szCs w:val="28"/>
        </w:rPr>
      </w:pPr>
    </w:p>
    <w:p w:rsidR="0098451B" w:rsidRPr="0023562F" w:rsidRDefault="00FA7A80" w:rsidP="0098451B">
      <w:pPr>
        <w:jc w:val="center"/>
        <w:rPr>
          <w:b/>
          <w:sz w:val="28"/>
          <w:szCs w:val="28"/>
        </w:rPr>
      </w:pPr>
      <w:r>
        <w:rPr>
          <w:b/>
          <w:sz w:val="28"/>
          <w:szCs w:val="28"/>
        </w:rPr>
        <w:t>ANNO ACCADEMICO 2017-2018</w:t>
      </w:r>
    </w:p>
    <w:p w:rsidR="0098451B" w:rsidRPr="0023562F" w:rsidRDefault="0098451B" w:rsidP="0098451B">
      <w:pPr>
        <w:jc w:val="center"/>
        <w:rPr>
          <w:b/>
          <w:sz w:val="28"/>
          <w:szCs w:val="28"/>
        </w:rPr>
      </w:pPr>
    </w:p>
    <w:p w:rsidR="0098451B" w:rsidRPr="0023562F" w:rsidRDefault="0098451B" w:rsidP="0098451B">
      <w:pPr>
        <w:jc w:val="center"/>
        <w:rPr>
          <w:b/>
          <w:sz w:val="28"/>
          <w:szCs w:val="28"/>
        </w:rPr>
      </w:pPr>
      <w:r w:rsidRPr="0023562F">
        <w:rPr>
          <w:b/>
          <w:sz w:val="28"/>
          <w:szCs w:val="28"/>
        </w:rPr>
        <w:t xml:space="preserve">PROGRAMMA DI LINGUA INGLESE </w:t>
      </w:r>
    </w:p>
    <w:p w:rsidR="0098451B" w:rsidRDefault="0098451B" w:rsidP="0098451B">
      <w:pPr>
        <w:jc w:val="center"/>
        <w:rPr>
          <w:b/>
          <w:bCs/>
          <w:sz w:val="28"/>
          <w:szCs w:val="28"/>
        </w:rPr>
      </w:pPr>
      <w:r>
        <w:rPr>
          <w:b/>
          <w:bCs/>
          <w:sz w:val="28"/>
          <w:szCs w:val="28"/>
        </w:rPr>
        <w:t>ODONTOIATRIA E PROTESI DENTARIA</w:t>
      </w:r>
    </w:p>
    <w:p w:rsidR="0098451B" w:rsidRPr="0023562F" w:rsidRDefault="0098451B" w:rsidP="0098451B">
      <w:pPr>
        <w:jc w:val="center"/>
        <w:rPr>
          <w:b/>
          <w:bCs/>
          <w:sz w:val="28"/>
          <w:szCs w:val="28"/>
        </w:rPr>
      </w:pPr>
      <w:r>
        <w:rPr>
          <w:b/>
          <w:bCs/>
          <w:sz w:val="28"/>
          <w:szCs w:val="28"/>
        </w:rPr>
        <w:t>I ANNO</w:t>
      </w:r>
    </w:p>
    <w:p w:rsidR="0098451B" w:rsidRDefault="0098451B" w:rsidP="0098451B">
      <w:pPr>
        <w:jc w:val="center"/>
        <w:rPr>
          <w:b/>
          <w:bCs/>
          <w:sz w:val="32"/>
          <w:szCs w:val="28"/>
        </w:rPr>
      </w:pPr>
    </w:p>
    <w:p w:rsidR="0098451B" w:rsidRPr="0000678F" w:rsidRDefault="0098451B" w:rsidP="0098451B">
      <w:pPr>
        <w:jc w:val="center"/>
        <w:rPr>
          <w:b/>
          <w:bCs/>
          <w:sz w:val="32"/>
          <w:szCs w:val="28"/>
        </w:rPr>
      </w:pPr>
    </w:p>
    <w:p w:rsidR="0098451B" w:rsidRPr="0023562F" w:rsidRDefault="0098451B" w:rsidP="0098451B">
      <w:pPr>
        <w:pStyle w:val="Corpotesto"/>
        <w:jc w:val="center"/>
        <w:rPr>
          <w:b/>
          <w:bCs/>
          <w:i/>
          <w:iCs/>
          <w:sz w:val="32"/>
          <w:szCs w:val="32"/>
          <w:u w:val="single"/>
        </w:rPr>
      </w:pPr>
      <w:proofErr w:type="gramStart"/>
      <w:r>
        <w:rPr>
          <w:b/>
          <w:bCs/>
          <w:i/>
          <w:iCs/>
          <w:sz w:val="32"/>
          <w:szCs w:val="32"/>
          <w:u w:val="single"/>
        </w:rPr>
        <w:t>Docente:  Prof.ssa</w:t>
      </w:r>
      <w:proofErr w:type="gramEnd"/>
      <w:r>
        <w:rPr>
          <w:b/>
          <w:bCs/>
          <w:i/>
          <w:iCs/>
          <w:sz w:val="32"/>
          <w:szCs w:val="32"/>
          <w:u w:val="single"/>
        </w:rPr>
        <w:t xml:space="preserve">  Alampi Gagliardi Rosalba</w:t>
      </w:r>
    </w:p>
    <w:p w:rsidR="0098451B" w:rsidRPr="00305920" w:rsidRDefault="0098451B" w:rsidP="0098451B">
      <w:pPr>
        <w:pStyle w:val="Corpotesto"/>
        <w:jc w:val="center"/>
        <w:rPr>
          <w:b/>
          <w:i/>
          <w:sz w:val="32"/>
        </w:rPr>
      </w:pPr>
    </w:p>
    <w:p w:rsidR="0098451B" w:rsidRPr="00305920" w:rsidRDefault="0098451B" w:rsidP="0098451B">
      <w:pPr>
        <w:pStyle w:val="Corpotesto"/>
        <w:rPr>
          <w:sz w:val="28"/>
        </w:rPr>
      </w:pPr>
      <w:r w:rsidRPr="00305920">
        <w:rPr>
          <w:sz w:val="28"/>
        </w:rPr>
        <w:t xml:space="preserve">Il corso </w:t>
      </w:r>
      <w:r>
        <w:rPr>
          <w:sz w:val="28"/>
        </w:rPr>
        <w:t>di lingua inglese per il primo</w:t>
      </w:r>
      <w:r w:rsidRPr="00305920">
        <w:rPr>
          <w:sz w:val="28"/>
        </w:rPr>
        <w:t xml:space="preserve"> </w:t>
      </w:r>
      <w:r>
        <w:rPr>
          <w:sz w:val="28"/>
        </w:rPr>
        <w:t>anno di Medicina e Chirurgia</w:t>
      </w:r>
      <w:r w:rsidRPr="00305920">
        <w:rPr>
          <w:sz w:val="28"/>
        </w:rPr>
        <w:t xml:space="preserve"> si propone di preparare gli studenti a comprendere ed utilizzare in modo corretto la lingua inglese adoperata nei testi scientifici e di soddisfare le loro specifiche esigenze comunicative professionali.</w:t>
      </w:r>
    </w:p>
    <w:p w:rsidR="0098451B" w:rsidRPr="00305920" w:rsidRDefault="0098451B" w:rsidP="0098451B">
      <w:pPr>
        <w:spacing w:after="120"/>
        <w:jc w:val="both"/>
        <w:rPr>
          <w:i/>
          <w:sz w:val="28"/>
        </w:rPr>
      </w:pPr>
      <w:r w:rsidRPr="00305920">
        <w:rPr>
          <w:sz w:val="28"/>
        </w:rPr>
        <w:t xml:space="preserve">Recentemente, la finalità dell’educazione linguistica ha subito cambiamenti sostanziali, grazie anche alla pubblicazione del </w:t>
      </w:r>
      <w:r w:rsidRPr="00305920">
        <w:rPr>
          <w:b/>
          <w:sz w:val="28"/>
        </w:rPr>
        <w:t>Quadro Comune di Riferimento Europeo</w:t>
      </w:r>
      <w:r w:rsidRPr="00305920">
        <w:rPr>
          <w:sz w:val="28"/>
        </w:rPr>
        <w:t xml:space="preserve">, </w:t>
      </w:r>
      <w:proofErr w:type="gramStart"/>
      <w:r w:rsidRPr="00305920">
        <w:rPr>
          <w:sz w:val="28"/>
        </w:rPr>
        <w:t>documento  realizzato</w:t>
      </w:r>
      <w:proofErr w:type="gramEnd"/>
      <w:r w:rsidRPr="00305920">
        <w:rPr>
          <w:sz w:val="28"/>
        </w:rPr>
        <w:t xml:space="preserve"> dal Consiglio d’Europa allo scopo di fornire una base comune per l’elaborazione di programmi, linee guida curriculari, descrittori dei livelli di competenza. Come tale documento ripetutamente chiarisce, “</w:t>
      </w:r>
      <w:r w:rsidRPr="00305920">
        <w:rPr>
          <w:i/>
          <w:sz w:val="28"/>
        </w:rPr>
        <w:t xml:space="preserve">non si tratta più semplicemente di acquisire la padronanza della lingua straniera, avendo come modello finale il parlante nativo. La finalità consiste invece nello sviluppare un repertorio linguistico in cui tutte le capacità linguistiche trovino posto”. </w:t>
      </w:r>
    </w:p>
    <w:p w:rsidR="0098451B" w:rsidRPr="00305920" w:rsidRDefault="0098451B" w:rsidP="0098451B">
      <w:pPr>
        <w:spacing w:after="120"/>
        <w:jc w:val="both"/>
        <w:rPr>
          <w:sz w:val="28"/>
        </w:rPr>
      </w:pPr>
      <w:r w:rsidRPr="00305920">
        <w:rPr>
          <w:sz w:val="28"/>
        </w:rPr>
        <w:t xml:space="preserve">Ciò al fine di promuovere quella competenza plurilingue e </w:t>
      </w:r>
      <w:proofErr w:type="spellStart"/>
      <w:r w:rsidRPr="00305920">
        <w:rPr>
          <w:sz w:val="28"/>
        </w:rPr>
        <w:t>pluriculturale</w:t>
      </w:r>
      <w:proofErr w:type="spellEnd"/>
      <w:r w:rsidRPr="00305920">
        <w:rPr>
          <w:sz w:val="28"/>
        </w:rPr>
        <w:t xml:space="preserve"> che costituisce l’obiettivo principe dell’insegnamento di una lingua straniera.</w:t>
      </w:r>
    </w:p>
    <w:p w:rsidR="0098451B" w:rsidRPr="00305920" w:rsidRDefault="0098451B" w:rsidP="0098451B">
      <w:pPr>
        <w:spacing w:after="120"/>
        <w:jc w:val="both"/>
        <w:rPr>
          <w:sz w:val="28"/>
        </w:rPr>
      </w:pPr>
      <w:r w:rsidRPr="00305920">
        <w:rPr>
          <w:sz w:val="28"/>
        </w:rPr>
        <w:t xml:space="preserve">L’obiettivo che ci si propone è di fornire agli studenti gli strumenti per affrontare la </w:t>
      </w:r>
      <w:proofErr w:type="gramStart"/>
      <w:r w:rsidRPr="00305920">
        <w:rPr>
          <w:sz w:val="28"/>
        </w:rPr>
        <w:t>possibilità</w:t>
      </w:r>
      <w:proofErr w:type="gramEnd"/>
      <w:r w:rsidRPr="00305920">
        <w:rPr>
          <w:sz w:val="28"/>
        </w:rPr>
        <w:t>, sempre più fattiva, della mobilità internazionale e dalla cooperazione nel campo della cultura e della scienza.</w:t>
      </w:r>
    </w:p>
    <w:p w:rsidR="0098451B" w:rsidRDefault="0098451B" w:rsidP="0098451B">
      <w:pPr>
        <w:spacing w:line="360" w:lineRule="auto"/>
        <w:jc w:val="both"/>
        <w:rPr>
          <w:b/>
          <w:i/>
          <w:sz w:val="28"/>
        </w:rPr>
      </w:pPr>
    </w:p>
    <w:p w:rsidR="0098451B" w:rsidRDefault="0098451B" w:rsidP="0098451B">
      <w:pPr>
        <w:spacing w:line="360" w:lineRule="auto"/>
        <w:jc w:val="both"/>
        <w:rPr>
          <w:b/>
          <w:i/>
          <w:sz w:val="28"/>
        </w:rPr>
      </w:pPr>
    </w:p>
    <w:p w:rsidR="0098451B" w:rsidRDefault="0098451B" w:rsidP="0098451B">
      <w:pPr>
        <w:spacing w:line="360" w:lineRule="auto"/>
        <w:jc w:val="both"/>
        <w:rPr>
          <w:b/>
          <w:i/>
          <w:sz w:val="28"/>
        </w:rPr>
      </w:pPr>
    </w:p>
    <w:p w:rsidR="0098451B" w:rsidRDefault="0098451B" w:rsidP="0098451B">
      <w:pPr>
        <w:spacing w:line="360" w:lineRule="auto"/>
        <w:jc w:val="both"/>
        <w:rPr>
          <w:b/>
          <w:i/>
          <w:sz w:val="28"/>
        </w:rPr>
      </w:pPr>
    </w:p>
    <w:p w:rsidR="0098451B" w:rsidRPr="00305920" w:rsidRDefault="0098451B" w:rsidP="0098451B">
      <w:pPr>
        <w:spacing w:line="360" w:lineRule="auto"/>
        <w:jc w:val="both"/>
        <w:rPr>
          <w:b/>
          <w:sz w:val="28"/>
        </w:rPr>
      </w:pPr>
      <w:r w:rsidRPr="00305920">
        <w:rPr>
          <w:b/>
          <w:i/>
          <w:sz w:val="28"/>
        </w:rPr>
        <w:t>Obiettivi specifici della disciplina:</w:t>
      </w:r>
    </w:p>
    <w:p w:rsidR="0098451B" w:rsidRPr="0000678F" w:rsidRDefault="0098451B" w:rsidP="0098451B">
      <w:pPr>
        <w:spacing w:line="360" w:lineRule="auto"/>
        <w:jc w:val="both"/>
        <w:rPr>
          <w:i/>
          <w:sz w:val="28"/>
          <w:u w:val="single"/>
        </w:rPr>
      </w:pPr>
      <w:r w:rsidRPr="0000678F">
        <w:rPr>
          <w:i/>
          <w:sz w:val="28"/>
          <w:u w:val="single"/>
        </w:rPr>
        <w:t>Conoscenze</w:t>
      </w:r>
    </w:p>
    <w:p w:rsidR="0098451B" w:rsidRPr="00305920" w:rsidRDefault="0098451B" w:rsidP="0098451B">
      <w:pPr>
        <w:pStyle w:val="Corpodeltesto3"/>
        <w:spacing w:after="0" w:line="360" w:lineRule="auto"/>
        <w:rPr>
          <w:sz w:val="28"/>
        </w:rPr>
      </w:pPr>
      <w:r w:rsidRPr="00305920">
        <w:rPr>
          <w:sz w:val="28"/>
        </w:rPr>
        <w:t>Gli studenti devono conoscere:</w:t>
      </w:r>
    </w:p>
    <w:p w:rsidR="0098451B" w:rsidRPr="00305920" w:rsidRDefault="0098451B" w:rsidP="0098451B">
      <w:pPr>
        <w:numPr>
          <w:ilvl w:val="0"/>
          <w:numId w:val="1"/>
        </w:numPr>
        <w:spacing w:after="120"/>
        <w:jc w:val="both"/>
        <w:rPr>
          <w:sz w:val="28"/>
        </w:rPr>
      </w:pPr>
      <w:proofErr w:type="gramStart"/>
      <w:r w:rsidRPr="00305920">
        <w:rPr>
          <w:sz w:val="28"/>
        </w:rPr>
        <w:t>i</w:t>
      </w:r>
      <w:proofErr w:type="gramEnd"/>
      <w:r w:rsidRPr="00305920">
        <w:rPr>
          <w:sz w:val="28"/>
        </w:rPr>
        <w:t xml:space="preserve"> meccanismi di funzionamento della lingua intermedio (funzioni comunicative e strutture morfo-sintattiche); </w:t>
      </w:r>
    </w:p>
    <w:p w:rsidR="0098451B" w:rsidRPr="00305920" w:rsidRDefault="0098451B" w:rsidP="0098451B">
      <w:pPr>
        <w:numPr>
          <w:ilvl w:val="0"/>
          <w:numId w:val="1"/>
        </w:numPr>
        <w:spacing w:after="120"/>
        <w:jc w:val="both"/>
        <w:rPr>
          <w:sz w:val="28"/>
        </w:rPr>
      </w:pPr>
      <w:proofErr w:type="gramStart"/>
      <w:r w:rsidRPr="00305920">
        <w:rPr>
          <w:sz w:val="28"/>
        </w:rPr>
        <w:t>il</w:t>
      </w:r>
      <w:proofErr w:type="gramEnd"/>
      <w:r w:rsidRPr="00305920">
        <w:rPr>
          <w:sz w:val="28"/>
        </w:rPr>
        <w:t xml:space="preserve"> lessico specifico del settore medico e scientifico (termini tecnici, acronimi, sinonimi, frasi campione)</w:t>
      </w:r>
    </w:p>
    <w:p w:rsidR="0098451B" w:rsidRPr="00305920" w:rsidRDefault="0098451B" w:rsidP="0098451B">
      <w:pPr>
        <w:spacing w:after="120"/>
        <w:jc w:val="both"/>
        <w:rPr>
          <w:sz w:val="28"/>
        </w:rPr>
      </w:pPr>
    </w:p>
    <w:p w:rsidR="0098451B" w:rsidRPr="0000678F" w:rsidRDefault="0098451B" w:rsidP="0098451B">
      <w:pPr>
        <w:spacing w:after="120"/>
        <w:jc w:val="both"/>
        <w:rPr>
          <w:i/>
          <w:sz w:val="28"/>
          <w:u w:val="single"/>
        </w:rPr>
      </w:pPr>
      <w:r w:rsidRPr="0000678F">
        <w:rPr>
          <w:i/>
          <w:sz w:val="28"/>
          <w:u w:val="single"/>
        </w:rPr>
        <w:t>Competenze</w:t>
      </w:r>
    </w:p>
    <w:p w:rsidR="0098451B" w:rsidRPr="00305920" w:rsidRDefault="0098451B" w:rsidP="0098451B">
      <w:pPr>
        <w:spacing w:after="120"/>
        <w:jc w:val="both"/>
        <w:rPr>
          <w:sz w:val="28"/>
        </w:rPr>
      </w:pPr>
      <w:r w:rsidRPr="00305920">
        <w:rPr>
          <w:sz w:val="28"/>
        </w:rPr>
        <w:t>Gli studenti devono essere in grado di:</w:t>
      </w:r>
    </w:p>
    <w:p w:rsidR="0098451B" w:rsidRPr="00305920" w:rsidRDefault="0098451B" w:rsidP="0098451B">
      <w:pPr>
        <w:numPr>
          <w:ilvl w:val="0"/>
          <w:numId w:val="1"/>
        </w:numPr>
        <w:spacing w:after="120"/>
        <w:jc w:val="both"/>
        <w:rPr>
          <w:i/>
          <w:sz w:val="28"/>
        </w:rPr>
      </w:pPr>
      <w:proofErr w:type="gramStart"/>
      <w:r w:rsidRPr="00305920">
        <w:rPr>
          <w:sz w:val="28"/>
        </w:rPr>
        <w:t>comunicare</w:t>
      </w:r>
      <w:proofErr w:type="gramEnd"/>
      <w:r w:rsidRPr="00305920">
        <w:rPr>
          <w:sz w:val="28"/>
        </w:rPr>
        <w:t xml:space="preserve"> in modo efficace in LS, utilizzando i registri appropriati ai vari contesti e i contenuti affrontati ;</w:t>
      </w:r>
    </w:p>
    <w:p w:rsidR="0098451B" w:rsidRPr="00A21C1F" w:rsidRDefault="0098451B" w:rsidP="0098451B">
      <w:pPr>
        <w:numPr>
          <w:ilvl w:val="0"/>
          <w:numId w:val="1"/>
        </w:numPr>
        <w:spacing w:after="120"/>
        <w:jc w:val="both"/>
        <w:rPr>
          <w:i/>
          <w:sz w:val="28"/>
        </w:rPr>
      </w:pPr>
      <w:proofErr w:type="gramStart"/>
      <w:r w:rsidRPr="00305920">
        <w:rPr>
          <w:sz w:val="28"/>
        </w:rPr>
        <w:t>comprendere</w:t>
      </w:r>
      <w:proofErr w:type="gramEnd"/>
      <w:r w:rsidRPr="00305920">
        <w:rPr>
          <w:sz w:val="28"/>
        </w:rPr>
        <w:t xml:space="preserve">, analizzare e sintetizzare testi di media difficoltà di carattere diverso; </w:t>
      </w:r>
    </w:p>
    <w:p w:rsidR="0098451B" w:rsidRPr="00305920" w:rsidRDefault="0098451B" w:rsidP="0098451B">
      <w:pPr>
        <w:numPr>
          <w:ilvl w:val="0"/>
          <w:numId w:val="1"/>
        </w:numPr>
        <w:spacing w:after="120"/>
        <w:jc w:val="both"/>
        <w:rPr>
          <w:sz w:val="28"/>
        </w:rPr>
      </w:pPr>
      <w:proofErr w:type="gramStart"/>
      <w:r w:rsidRPr="00305920">
        <w:rPr>
          <w:sz w:val="28"/>
        </w:rPr>
        <w:t>saper</w:t>
      </w:r>
      <w:proofErr w:type="gramEnd"/>
      <w:r w:rsidRPr="00305920">
        <w:rPr>
          <w:sz w:val="28"/>
        </w:rPr>
        <w:t xml:space="preserve"> relazionare su un argomento scelto manifestando scioltezza espositiva, ricchezza e proprietà lessicale, capacità di rielaborazione personale, ma anche essere in grado di dare risposte adeguate alle richieste dell’esaminatore.</w:t>
      </w:r>
    </w:p>
    <w:p w:rsidR="0098451B" w:rsidRPr="00305920" w:rsidRDefault="0098451B" w:rsidP="0098451B">
      <w:pPr>
        <w:spacing w:after="120"/>
        <w:jc w:val="both"/>
        <w:rPr>
          <w:sz w:val="28"/>
        </w:rPr>
      </w:pPr>
    </w:p>
    <w:p w:rsidR="0098451B" w:rsidRPr="0000678F" w:rsidRDefault="0098451B" w:rsidP="0098451B">
      <w:pPr>
        <w:spacing w:after="120"/>
        <w:jc w:val="both"/>
        <w:rPr>
          <w:i/>
          <w:sz w:val="28"/>
          <w:u w:val="single"/>
        </w:rPr>
      </w:pPr>
      <w:r w:rsidRPr="0000678F">
        <w:rPr>
          <w:i/>
          <w:sz w:val="28"/>
          <w:u w:val="single"/>
        </w:rPr>
        <w:t>Capacità</w:t>
      </w:r>
    </w:p>
    <w:p w:rsidR="0098451B" w:rsidRPr="00305920" w:rsidRDefault="0098451B" w:rsidP="0098451B">
      <w:pPr>
        <w:pStyle w:val="Corpodeltesto3"/>
        <w:rPr>
          <w:sz w:val="28"/>
        </w:rPr>
      </w:pPr>
      <w:r w:rsidRPr="00305920">
        <w:rPr>
          <w:sz w:val="28"/>
        </w:rPr>
        <w:t>E’ necessario che gli studenti siano capaci di:</w:t>
      </w:r>
    </w:p>
    <w:p w:rsidR="0098451B" w:rsidRPr="00305920" w:rsidRDefault="0098451B" w:rsidP="0098451B">
      <w:pPr>
        <w:numPr>
          <w:ilvl w:val="0"/>
          <w:numId w:val="3"/>
        </w:numPr>
        <w:spacing w:after="120"/>
        <w:jc w:val="both"/>
        <w:rPr>
          <w:sz w:val="28"/>
        </w:rPr>
      </w:pPr>
      <w:proofErr w:type="gramStart"/>
      <w:r w:rsidRPr="00305920">
        <w:rPr>
          <w:sz w:val="28"/>
        </w:rPr>
        <w:t>stabilire</w:t>
      </w:r>
      <w:proofErr w:type="gramEnd"/>
      <w:r w:rsidRPr="00305920">
        <w:rPr>
          <w:sz w:val="28"/>
        </w:rPr>
        <w:t xml:space="preserve"> rapporti interpersonali efficaci sostenendo una conversazione funzionale adeguata al contesto ed alla situazione di comunicazione;</w:t>
      </w:r>
    </w:p>
    <w:p w:rsidR="0098451B" w:rsidRPr="00305920" w:rsidRDefault="0098451B" w:rsidP="0098451B">
      <w:pPr>
        <w:numPr>
          <w:ilvl w:val="0"/>
          <w:numId w:val="2"/>
        </w:numPr>
        <w:spacing w:after="120"/>
        <w:jc w:val="both"/>
        <w:rPr>
          <w:sz w:val="28"/>
        </w:rPr>
      </w:pPr>
      <w:proofErr w:type="gramStart"/>
      <w:r w:rsidRPr="00305920">
        <w:rPr>
          <w:sz w:val="28"/>
        </w:rPr>
        <w:t>orientarsi</w:t>
      </w:r>
      <w:proofErr w:type="gramEnd"/>
      <w:r w:rsidRPr="00305920">
        <w:rPr>
          <w:sz w:val="28"/>
        </w:rPr>
        <w:t xml:space="preserve"> nella comprensione di pubblicazioni nella lingua straniera relativa al settore specifico. </w:t>
      </w:r>
    </w:p>
    <w:p w:rsidR="0098451B" w:rsidRPr="00305920" w:rsidRDefault="0098451B" w:rsidP="0098451B">
      <w:pPr>
        <w:spacing w:after="120"/>
        <w:jc w:val="both"/>
      </w:pPr>
    </w:p>
    <w:p w:rsidR="0098451B" w:rsidRDefault="0098451B" w:rsidP="0098451B">
      <w:pPr>
        <w:pStyle w:val="Titolo1"/>
        <w:rPr>
          <w:rFonts w:ascii="Times New Roman" w:hAnsi="Times New Roman"/>
        </w:rPr>
      </w:pPr>
    </w:p>
    <w:p w:rsidR="0098451B" w:rsidRDefault="0098451B" w:rsidP="0098451B">
      <w:pPr>
        <w:pStyle w:val="Titolo1"/>
        <w:rPr>
          <w:rFonts w:ascii="Times New Roman" w:hAnsi="Times New Roman"/>
        </w:rPr>
      </w:pPr>
    </w:p>
    <w:p w:rsidR="0098451B" w:rsidRDefault="0098451B" w:rsidP="0098451B">
      <w:pPr>
        <w:pStyle w:val="Titolo1"/>
        <w:rPr>
          <w:rFonts w:ascii="Times New Roman" w:hAnsi="Times New Roman"/>
        </w:rPr>
      </w:pPr>
    </w:p>
    <w:p w:rsidR="0098451B" w:rsidRDefault="0098451B" w:rsidP="0098451B"/>
    <w:p w:rsidR="0098451B" w:rsidRDefault="0098451B" w:rsidP="0098451B"/>
    <w:p w:rsidR="0098451B" w:rsidRDefault="0098451B" w:rsidP="0098451B"/>
    <w:p w:rsidR="0098451B" w:rsidRDefault="0098451B" w:rsidP="0098451B"/>
    <w:p w:rsidR="0098451B" w:rsidRDefault="0098451B" w:rsidP="0098451B"/>
    <w:p w:rsidR="0098451B" w:rsidRDefault="0098451B" w:rsidP="0098451B"/>
    <w:p w:rsidR="0098451B" w:rsidRDefault="0098451B" w:rsidP="0098451B"/>
    <w:p w:rsidR="0098451B" w:rsidRDefault="0098451B" w:rsidP="0098451B"/>
    <w:p w:rsidR="0098451B" w:rsidRDefault="0098451B" w:rsidP="0098451B"/>
    <w:p w:rsidR="0098451B" w:rsidRPr="008E3894" w:rsidRDefault="0098451B" w:rsidP="0098451B"/>
    <w:p w:rsidR="0098451B" w:rsidRDefault="0098451B" w:rsidP="0098451B">
      <w:pPr>
        <w:spacing w:after="120"/>
        <w:jc w:val="both"/>
      </w:pPr>
    </w:p>
    <w:p w:rsidR="00FA64D7" w:rsidRDefault="00FA64D7" w:rsidP="0098451B">
      <w:pPr>
        <w:spacing w:after="120"/>
        <w:jc w:val="both"/>
      </w:pPr>
    </w:p>
    <w:p w:rsidR="00FA64D7" w:rsidRDefault="00FA64D7" w:rsidP="0098451B">
      <w:pPr>
        <w:spacing w:after="120"/>
        <w:jc w:val="both"/>
      </w:pPr>
    </w:p>
    <w:p w:rsidR="0098451B" w:rsidRDefault="00FA7A80" w:rsidP="0098451B">
      <w:pPr>
        <w:pStyle w:val="Titolo1"/>
      </w:pPr>
      <w:r>
        <w:t>Programma 2017</w:t>
      </w:r>
      <w:r w:rsidR="0098451B">
        <w:t>-201</w:t>
      </w:r>
      <w:r>
        <w:t>8</w:t>
      </w:r>
    </w:p>
    <w:p w:rsidR="0098451B" w:rsidRPr="00F3655A" w:rsidRDefault="0098451B" w:rsidP="0098451B">
      <w:pPr>
        <w:pStyle w:val="Titolo1"/>
        <w:rPr>
          <w:rFonts w:ascii="Times New Roman" w:hAnsi="Times New Roman"/>
        </w:rPr>
      </w:pPr>
      <w:r w:rsidRPr="00F3655A">
        <w:rPr>
          <w:lang w:val="en-GB"/>
        </w:rPr>
        <w:t xml:space="preserve">                                                                          </w:t>
      </w:r>
    </w:p>
    <w:p w:rsidR="0098451B" w:rsidRDefault="0098451B" w:rsidP="0098451B">
      <w:pPr>
        <w:numPr>
          <w:ilvl w:val="0"/>
          <w:numId w:val="4"/>
        </w:numPr>
        <w:spacing w:after="120"/>
        <w:jc w:val="both"/>
        <w:rPr>
          <w:sz w:val="28"/>
          <w:lang w:val="en-GB"/>
        </w:rPr>
      </w:pPr>
      <w:r>
        <w:rPr>
          <w:sz w:val="28"/>
          <w:lang w:val="en-GB"/>
        </w:rPr>
        <w:t xml:space="preserve">Pulp Chambers  and  Canals                                                                                                      </w:t>
      </w:r>
    </w:p>
    <w:p w:rsidR="0098451B" w:rsidRDefault="0098451B" w:rsidP="0098451B">
      <w:pPr>
        <w:numPr>
          <w:ilvl w:val="0"/>
          <w:numId w:val="4"/>
        </w:numPr>
        <w:spacing w:after="120"/>
        <w:jc w:val="both"/>
        <w:rPr>
          <w:sz w:val="28"/>
          <w:lang w:val="en-GB"/>
        </w:rPr>
      </w:pPr>
      <w:r>
        <w:rPr>
          <w:sz w:val="28"/>
          <w:lang w:val="en-GB"/>
        </w:rPr>
        <w:t xml:space="preserve"> The Mandible</w:t>
      </w:r>
    </w:p>
    <w:p w:rsidR="0098451B" w:rsidRDefault="0098451B" w:rsidP="0098451B">
      <w:pPr>
        <w:numPr>
          <w:ilvl w:val="0"/>
          <w:numId w:val="4"/>
        </w:numPr>
        <w:spacing w:after="120"/>
        <w:jc w:val="both"/>
        <w:rPr>
          <w:sz w:val="28"/>
          <w:lang w:val="en-GB"/>
        </w:rPr>
      </w:pPr>
      <w:r>
        <w:rPr>
          <w:sz w:val="28"/>
          <w:lang w:val="en-GB"/>
        </w:rPr>
        <w:t xml:space="preserve">Introduction to dental anatomy                            </w:t>
      </w:r>
    </w:p>
    <w:p w:rsidR="0098451B" w:rsidRDefault="0098451B" w:rsidP="0098451B">
      <w:pPr>
        <w:numPr>
          <w:ilvl w:val="0"/>
          <w:numId w:val="4"/>
        </w:numPr>
        <w:spacing w:after="120"/>
        <w:jc w:val="both"/>
        <w:rPr>
          <w:sz w:val="28"/>
          <w:lang w:val="en-GB"/>
        </w:rPr>
      </w:pPr>
      <w:r>
        <w:rPr>
          <w:sz w:val="28"/>
          <w:lang w:val="en-GB"/>
        </w:rPr>
        <w:t xml:space="preserve"> A  call to action for oral health                 </w:t>
      </w:r>
      <w:r w:rsidRPr="0066135C">
        <w:rPr>
          <w:sz w:val="28"/>
          <w:lang w:val="en-GB"/>
        </w:rPr>
        <w:t xml:space="preserve"> </w:t>
      </w:r>
      <w:r>
        <w:rPr>
          <w:sz w:val="28"/>
          <w:lang w:val="en-GB"/>
        </w:rPr>
        <w:t xml:space="preserve">        </w:t>
      </w:r>
    </w:p>
    <w:p w:rsidR="0098451B" w:rsidRDefault="0098451B" w:rsidP="0098451B">
      <w:pPr>
        <w:numPr>
          <w:ilvl w:val="0"/>
          <w:numId w:val="4"/>
        </w:numPr>
        <w:spacing w:after="120"/>
        <w:jc w:val="both"/>
        <w:rPr>
          <w:sz w:val="28"/>
          <w:lang w:val="en-GB"/>
        </w:rPr>
      </w:pPr>
      <w:r w:rsidRPr="00315382">
        <w:rPr>
          <w:sz w:val="28"/>
          <w:lang w:val="en-GB"/>
        </w:rPr>
        <w:t xml:space="preserve"> Oral Mucosal Embryology and </w:t>
      </w:r>
      <w:proofErr w:type="spellStart"/>
      <w:r w:rsidRPr="00315382">
        <w:rPr>
          <w:sz w:val="28"/>
          <w:lang w:val="en-GB"/>
        </w:rPr>
        <w:t>Hystology</w:t>
      </w:r>
      <w:proofErr w:type="spellEnd"/>
      <w:r w:rsidRPr="00315382">
        <w:rPr>
          <w:sz w:val="28"/>
          <w:lang w:val="en-GB"/>
        </w:rPr>
        <w:t xml:space="preserve">         </w:t>
      </w:r>
      <w:r>
        <w:rPr>
          <w:sz w:val="28"/>
          <w:lang w:val="en-GB"/>
        </w:rPr>
        <w:t xml:space="preserve">                                     </w:t>
      </w:r>
    </w:p>
    <w:p w:rsidR="0098451B" w:rsidRDefault="0098451B" w:rsidP="0098451B">
      <w:pPr>
        <w:numPr>
          <w:ilvl w:val="0"/>
          <w:numId w:val="4"/>
        </w:numPr>
        <w:spacing w:after="120"/>
        <w:jc w:val="both"/>
        <w:rPr>
          <w:sz w:val="28"/>
          <w:lang w:val="en-GB"/>
        </w:rPr>
      </w:pPr>
      <w:r>
        <w:rPr>
          <w:sz w:val="28"/>
          <w:lang w:val="en-GB"/>
        </w:rPr>
        <w:t>Adverse drug reactions</w:t>
      </w:r>
    </w:p>
    <w:p w:rsidR="0098451B" w:rsidRDefault="0098451B" w:rsidP="0098451B">
      <w:pPr>
        <w:numPr>
          <w:ilvl w:val="0"/>
          <w:numId w:val="4"/>
        </w:numPr>
        <w:spacing w:after="120"/>
        <w:jc w:val="both"/>
        <w:rPr>
          <w:sz w:val="28"/>
          <w:lang w:val="en-GB"/>
        </w:rPr>
      </w:pPr>
      <w:r>
        <w:rPr>
          <w:sz w:val="28"/>
          <w:lang w:val="en-GB"/>
        </w:rPr>
        <w:t>Respiratory disease</w:t>
      </w:r>
    </w:p>
    <w:p w:rsidR="0098451B" w:rsidRDefault="0098451B" w:rsidP="0098451B">
      <w:pPr>
        <w:numPr>
          <w:ilvl w:val="0"/>
          <w:numId w:val="4"/>
        </w:numPr>
        <w:spacing w:after="120"/>
        <w:jc w:val="both"/>
        <w:rPr>
          <w:sz w:val="28"/>
          <w:lang w:val="en-GB"/>
        </w:rPr>
      </w:pPr>
      <w:r>
        <w:rPr>
          <w:sz w:val="28"/>
          <w:lang w:val="en-GB"/>
        </w:rPr>
        <w:t>Vitamins</w:t>
      </w:r>
    </w:p>
    <w:p w:rsidR="0098451B" w:rsidRDefault="0098451B" w:rsidP="0098451B">
      <w:pPr>
        <w:numPr>
          <w:ilvl w:val="0"/>
          <w:numId w:val="4"/>
        </w:numPr>
        <w:spacing w:after="120"/>
        <w:jc w:val="both"/>
        <w:rPr>
          <w:sz w:val="28"/>
          <w:lang w:val="en-GB"/>
        </w:rPr>
      </w:pPr>
      <w:r>
        <w:rPr>
          <w:sz w:val="28"/>
          <w:lang w:val="en-GB"/>
        </w:rPr>
        <w:t>Forensic dentistry</w:t>
      </w:r>
    </w:p>
    <w:p w:rsidR="0098451B" w:rsidRDefault="00FA7A80" w:rsidP="0098451B">
      <w:pPr>
        <w:numPr>
          <w:ilvl w:val="0"/>
          <w:numId w:val="4"/>
        </w:numPr>
        <w:spacing w:after="120"/>
        <w:jc w:val="both"/>
        <w:rPr>
          <w:sz w:val="28"/>
          <w:lang w:val="en-GB"/>
        </w:rPr>
      </w:pPr>
      <w:r>
        <w:rPr>
          <w:sz w:val="28"/>
          <w:lang w:val="en-GB"/>
        </w:rPr>
        <w:t xml:space="preserve">Male and female differences </w:t>
      </w:r>
    </w:p>
    <w:p w:rsidR="0098451B" w:rsidRDefault="00FA7A80" w:rsidP="0098451B">
      <w:pPr>
        <w:numPr>
          <w:ilvl w:val="0"/>
          <w:numId w:val="4"/>
        </w:numPr>
        <w:spacing w:after="120"/>
        <w:jc w:val="both"/>
        <w:rPr>
          <w:sz w:val="28"/>
          <w:lang w:val="en-GB"/>
        </w:rPr>
      </w:pPr>
      <w:r>
        <w:rPr>
          <w:sz w:val="28"/>
          <w:lang w:val="en-GB"/>
        </w:rPr>
        <w:t>The two minds</w:t>
      </w:r>
    </w:p>
    <w:p w:rsidR="0098451B" w:rsidRDefault="00FA7A80" w:rsidP="0098451B">
      <w:pPr>
        <w:numPr>
          <w:ilvl w:val="0"/>
          <w:numId w:val="4"/>
        </w:numPr>
        <w:spacing w:after="120"/>
        <w:jc w:val="both"/>
        <w:rPr>
          <w:sz w:val="28"/>
          <w:lang w:val="en-GB"/>
        </w:rPr>
      </w:pPr>
      <w:r>
        <w:rPr>
          <w:sz w:val="28"/>
          <w:lang w:val="en-GB"/>
        </w:rPr>
        <w:t xml:space="preserve">Eating </w:t>
      </w:r>
      <w:proofErr w:type="spellStart"/>
      <w:r>
        <w:rPr>
          <w:sz w:val="28"/>
          <w:lang w:val="en-GB"/>
        </w:rPr>
        <w:t>disorders:anorexia</w:t>
      </w:r>
      <w:proofErr w:type="spellEnd"/>
      <w:r>
        <w:rPr>
          <w:sz w:val="28"/>
          <w:lang w:val="en-GB"/>
        </w:rPr>
        <w:t xml:space="preserve"> and bulimia </w:t>
      </w:r>
      <w:proofErr w:type="spellStart"/>
      <w:r>
        <w:rPr>
          <w:sz w:val="28"/>
          <w:lang w:val="en-GB"/>
        </w:rPr>
        <w:t>nervosa,atypical</w:t>
      </w:r>
      <w:proofErr w:type="spellEnd"/>
      <w:r>
        <w:rPr>
          <w:sz w:val="28"/>
          <w:lang w:val="en-GB"/>
        </w:rPr>
        <w:t xml:space="preserve"> eating disorders including binge eating</w:t>
      </w:r>
    </w:p>
    <w:p w:rsidR="0098451B" w:rsidRPr="00FA3B22" w:rsidRDefault="0098451B" w:rsidP="0098451B">
      <w:pPr>
        <w:spacing w:after="120"/>
        <w:ind w:left="720"/>
        <w:jc w:val="both"/>
        <w:rPr>
          <w:sz w:val="28"/>
          <w:lang w:val="en-GB"/>
        </w:rPr>
      </w:pPr>
      <w:r>
        <w:rPr>
          <w:sz w:val="28"/>
          <w:lang w:val="en-GB"/>
        </w:rPr>
        <w:t xml:space="preserve">                                                                                  </w:t>
      </w:r>
    </w:p>
    <w:p w:rsidR="0098451B" w:rsidRPr="00733289" w:rsidRDefault="0098451B" w:rsidP="0098451B">
      <w:pPr>
        <w:spacing w:after="120"/>
        <w:jc w:val="both"/>
        <w:rPr>
          <w:b/>
          <w:i/>
          <w:sz w:val="28"/>
        </w:rPr>
      </w:pPr>
      <w:r w:rsidRPr="00305920">
        <w:rPr>
          <w:b/>
          <w:i/>
          <w:sz w:val="28"/>
        </w:rPr>
        <w:t xml:space="preserve">Criteri di valutazione </w:t>
      </w:r>
      <w:proofErr w:type="gramStart"/>
      <w:r w:rsidRPr="00305920">
        <w:rPr>
          <w:b/>
          <w:i/>
          <w:sz w:val="28"/>
        </w:rPr>
        <w:t>dell’esame:</w:t>
      </w:r>
      <w:r w:rsidRPr="00062BAD">
        <w:rPr>
          <w:i/>
          <w:sz w:val="28"/>
          <w:u w:val="single"/>
        </w:rPr>
        <w:t>Prova</w:t>
      </w:r>
      <w:proofErr w:type="gramEnd"/>
      <w:r w:rsidRPr="00062BAD">
        <w:rPr>
          <w:i/>
          <w:sz w:val="28"/>
          <w:u w:val="single"/>
        </w:rPr>
        <w:t xml:space="preserve"> orale</w:t>
      </w:r>
    </w:p>
    <w:p w:rsidR="0098451B" w:rsidRDefault="0098451B" w:rsidP="0098451B">
      <w:pPr>
        <w:pStyle w:val="Rientrocorpodeltesto"/>
        <w:rPr>
          <w:rFonts w:ascii="Times New Roman" w:hAnsi="Times New Roman"/>
        </w:rPr>
      </w:pPr>
      <w:r w:rsidRPr="00305920">
        <w:rPr>
          <w:rFonts w:ascii="Times New Roman" w:hAnsi="Times New Roman"/>
        </w:rPr>
        <w:t>Esposizione dei contenuti scientifici relativi ai testi oggetto del programma. Conversazione su argomenti di carattere generale in cui il candidato mostri correttezza linguistica ed appropriatezza lessicale.</w:t>
      </w:r>
    </w:p>
    <w:p w:rsidR="00FA64D7" w:rsidRDefault="00FA64D7" w:rsidP="0098451B">
      <w:pPr>
        <w:pStyle w:val="Rientrocorpodeltesto"/>
        <w:rPr>
          <w:rFonts w:ascii="Times New Roman" w:hAnsi="Times New Roman"/>
        </w:rPr>
      </w:pPr>
    </w:p>
    <w:p w:rsidR="00FA64D7" w:rsidRDefault="00FA64D7" w:rsidP="00FA64D7">
      <w:pPr>
        <w:pStyle w:val="Rientrocorpodeltesto"/>
        <w:ind w:left="0"/>
        <w:rPr>
          <w:rFonts w:ascii="Times New Roman" w:hAnsi="Times New Roman"/>
        </w:rPr>
      </w:pPr>
    </w:p>
    <w:p w:rsidR="00FA64D7" w:rsidRDefault="00FA64D7" w:rsidP="0098451B">
      <w:pPr>
        <w:pStyle w:val="Rientrocorpodeltesto"/>
        <w:rPr>
          <w:rFonts w:ascii="Times New Roman" w:hAnsi="Times New Roman"/>
        </w:rPr>
      </w:pPr>
      <w:r>
        <w:rPr>
          <w:rFonts w:ascii="Times New Roman" w:hAnsi="Times New Roman"/>
        </w:rPr>
        <w:t>In caso di integrazione 1-2-3 CFU</w:t>
      </w:r>
    </w:p>
    <w:p w:rsidR="00FA64D7" w:rsidRDefault="00FA64D7" w:rsidP="00FA64D7">
      <w:pPr>
        <w:numPr>
          <w:ilvl w:val="0"/>
          <w:numId w:val="5"/>
        </w:numPr>
        <w:spacing w:after="120"/>
        <w:jc w:val="both"/>
        <w:rPr>
          <w:sz w:val="28"/>
          <w:lang w:val="en-GB"/>
        </w:rPr>
      </w:pPr>
      <w:r>
        <w:rPr>
          <w:sz w:val="28"/>
          <w:lang w:val="en-GB"/>
        </w:rPr>
        <w:t>Vitamins</w:t>
      </w:r>
    </w:p>
    <w:p w:rsidR="00FA64D7" w:rsidRDefault="00FA64D7" w:rsidP="00FA64D7">
      <w:pPr>
        <w:numPr>
          <w:ilvl w:val="0"/>
          <w:numId w:val="5"/>
        </w:numPr>
        <w:spacing w:after="120"/>
        <w:jc w:val="both"/>
        <w:rPr>
          <w:sz w:val="28"/>
          <w:lang w:val="en-GB"/>
        </w:rPr>
      </w:pPr>
      <w:r>
        <w:rPr>
          <w:sz w:val="28"/>
          <w:lang w:val="en-GB"/>
        </w:rPr>
        <w:t xml:space="preserve">Pulp Chambers  and  Canals                                                                                                      </w:t>
      </w:r>
    </w:p>
    <w:p w:rsidR="00FA64D7" w:rsidRDefault="00FA64D7" w:rsidP="00FA64D7">
      <w:pPr>
        <w:numPr>
          <w:ilvl w:val="0"/>
          <w:numId w:val="5"/>
        </w:numPr>
        <w:spacing w:after="120"/>
        <w:jc w:val="both"/>
        <w:rPr>
          <w:sz w:val="28"/>
          <w:lang w:val="en-GB"/>
        </w:rPr>
      </w:pPr>
      <w:r>
        <w:rPr>
          <w:sz w:val="28"/>
          <w:lang w:val="en-GB"/>
        </w:rPr>
        <w:t xml:space="preserve">Introduction to dental anatomy                            </w:t>
      </w:r>
    </w:p>
    <w:p w:rsidR="00FA64D7" w:rsidRPr="00FA64D7" w:rsidRDefault="00FA64D7" w:rsidP="00FA64D7">
      <w:pPr>
        <w:pStyle w:val="Rientrocorpodeltesto"/>
        <w:numPr>
          <w:ilvl w:val="0"/>
          <w:numId w:val="5"/>
        </w:numPr>
        <w:rPr>
          <w:rFonts w:ascii="Times New Roman" w:hAnsi="Times New Roman"/>
          <w:lang w:val="en-US"/>
        </w:rPr>
      </w:pPr>
      <w:r w:rsidRPr="00FA64D7">
        <w:rPr>
          <w:rFonts w:ascii="Times New Roman" w:hAnsi="Times New Roman"/>
          <w:lang w:val="en-GB"/>
        </w:rPr>
        <w:t xml:space="preserve">Oral Mucosal Embryology and </w:t>
      </w:r>
      <w:proofErr w:type="spellStart"/>
      <w:r w:rsidRPr="00FA64D7">
        <w:rPr>
          <w:rFonts w:ascii="Times New Roman" w:hAnsi="Times New Roman"/>
          <w:lang w:val="en-GB"/>
        </w:rPr>
        <w:t>Hystology</w:t>
      </w:r>
      <w:proofErr w:type="spellEnd"/>
      <w:r w:rsidRPr="00FA64D7">
        <w:rPr>
          <w:rFonts w:ascii="Times New Roman" w:hAnsi="Times New Roman"/>
          <w:lang w:val="en-GB"/>
        </w:rPr>
        <w:t xml:space="preserve">     </w:t>
      </w:r>
    </w:p>
    <w:p w:rsidR="00FA64D7" w:rsidRDefault="00FA64D7" w:rsidP="00FA64D7">
      <w:pPr>
        <w:pStyle w:val="Rientrocorpodeltesto"/>
        <w:rPr>
          <w:rFonts w:ascii="Times New Roman" w:hAnsi="Times New Roman"/>
          <w:lang w:val="en-US"/>
        </w:rPr>
      </w:pPr>
    </w:p>
    <w:p w:rsidR="00FA64D7" w:rsidRDefault="00FA64D7" w:rsidP="00FA64D7">
      <w:pPr>
        <w:pStyle w:val="Rientrocorpodeltesto"/>
        <w:rPr>
          <w:rFonts w:ascii="Times New Roman" w:hAnsi="Times New Roman"/>
          <w:lang w:val="en-US"/>
        </w:rPr>
      </w:pPr>
    </w:p>
    <w:p w:rsidR="00FA64D7" w:rsidRDefault="00FA64D7" w:rsidP="00FA64D7">
      <w:pPr>
        <w:pStyle w:val="Rientrocorpodeltesto"/>
        <w:rPr>
          <w:rFonts w:ascii="Times New Roman" w:hAnsi="Times New Roman"/>
          <w:lang w:val="en-US"/>
        </w:rPr>
      </w:pPr>
    </w:p>
    <w:p w:rsidR="00FA64D7" w:rsidRDefault="00FA64D7" w:rsidP="00FA64D7">
      <w:pPr>
        <w:pStyle w:val="Rientrocorpodeltesto"/>
        <w:rPr>
          <w:rFonts w:ascii="Times New Roman" w:hAnsi="Times New Roman"/>
          <w:lang w:val="en-US"/>
        </w:rPr>
      </w:pPr>
    </w:p>
    <w:p w:rsidR="00FA64D7" w:rsidRDefault="00FA64D7" w:rsidP="00FA64D7">
      <w:pPr>
        <w:pStyle w:val="Rientrocorpodeltesto"/>
        <w:rPr>
          <w:rFonts w:ascii="Times New Roman" w:hAnsi="Times New Roman"/>
          <w:lang w:val="en-US"/>
        </w:rPr>
      </w:pPr>
    </w:p>
    <w:p w:rsidR="00FA64D7" w:rsidRDefault="00FA64D7" w:rsidP="00FA64D7">
      <w:pPr>
        <w:pStyle w:val="Rientrocorpodeltesto"/>
        <w:rPr>
          <w:rFonts w:ascii="Times New Roman" w:hAnsi="Times New Roman"/>
          <w:lang w:val="en-US"/>
        </w:rPr>
      </w:pPr>
    </w:p>
    <w:p w:rsidR="00FA64D7" w:rsidRPr="00FA64D7" w:rsidRDefault="00FA64D7" w:rsidP="00FA64D7">
      <w:pPr>
        <w:pStyle w:val="Rientrocorpodeltesto"/>
        <w:rPr>
          <w:rFonts w:ascii="Times New Roman" w:hAnsi="Times New Roman"/>
          <w:lang w:val="en-US"/>
        </w:rPr>
      </w:pPr>
    </w:p>
    <w:p w:rsidR="00FA64D7" w:rsidRDefault="00FA64D7" w:rsidP="00FA64D7">
      <w:pPr>
        <w:pStyle w:val="Rientrocorpodeltesto"/>
        <w:rPr>
          <w:rFonts w:ascii="Times New Roman" w:hAnsi="Times New Roman"/>
        </w:rPr>
      </w:pPr>
      <w:r w:rsidRPr="00FA64D7">
        <w:rPr>
          <w:rFonts w:ascii="Times New Roman" w:hAnsi="Times New Roman"/>
        </w:rPr>
        <w:t>In caso di integrazione 4-5 CFU</w:t>
      </w:r>
    </w:p>
    <w:p w:rsidR="00FA64D7" w:rsidRDefault="00FA64D7" w:rsidP="00FA64D7">
      <w:pPr>
        <w:numPr>
          <w:ilvl w:val="0"/>
          <w:numId w:val="5"/>
        </w:numPr>
        <w:spacing w:after="120"/>
        <w:jc w:val="both"/>
        <w:rPr>
          <w:sz w:val="28"/>
          <w:lang w:val="en-GB"/>
        </w:rPr>
      </w:pPr>
      <w:r>
        <w:rPr>
          <w:sz w:val="28"/>
          <w:lang w:val="en-GB"/>
        </w:rPr>
        <w:t>Vitamins</w:t>
      </w:r>
    </w:p>
    <w:p w:rsidR="00FA64D7" w:rsidRDefault="00FA64D7" w:rsidP="00FA64D7">
      <w:pPr>
        <w:numPr>
          <w:ilvl w:val="0"/>
          <w:numId w:val="5"/>
        </w:numPr>
        <w:spacing w:after="120"/>
        <w:jc w:val="both"/>
        <w:rPr>
          <w:sz w:val="28"/>
          <w:lang w:val="en-GB"/>
        </w:rPr>
      </w:pPr>
      <w:r>
        <w:rPr>
          <w:sz w:val="28"/>
          <w:lang w:val="en-GB"/>
        </w:rPr>
        <w:t xml:space="preserve">Pulp Chambers  and  Canals                                                                                                      </w:t>
      </w:r>
    </w:p>
    <w:p w:rsidR="00FA64D7" w:rsidRDefault="00FA64D7" w:rsidP="00FA64D7">
      <w:pPr>
        <w:numPr>
          <w:ilvl w:val="0"/>
          <w:numId w:val="5"/>
        </w:numPr>
        <w:spacing w:after="120"/>
        <w:jc w:val="both"/>
        <w:rPr>
          <w:sz w:val="28"/>
          <w:lang w:val="en-GB"/>
        </w:rPr>
      </w:pPr>
      <w:r>
        <w:rPr>
          <w:sz w:val="28"/>
          <w:lang w:val="en-GB"/>
        </w:rPr>
        <w:t xml:space="preserve">Introduction to dental anatomy                            </w:t>
      </w:r>
    </w:p>
    <w:p w:rsidR="00FA64D7" w:rsidRPr="00FA64D7" w:rsidRDefault="00FA64D7" w:rsidP="00FA64D7">
      <w:pPr>
        <w:pStyle w:val="Rientrocorpodeltesto"/>
        <w:numPr>
          <w:ilvl w:val="0"/>
          <w:numId w:val="5"/>
        </w:numPr>
        <w:rPr>
          <w:rFonts w:ascii="Times New Roman" w:hAnsi="Times New Roman"/>
          <w:lang w:val="en-US"/>
        </w:rPr>
      </w:pPr>
      <w:r w:rsidRPr="00FA64D7">
        <w:rPr>
          <w:rFonts w:ascii="Times New Roman" w:hAnsi="Times New Roman"/>
          <w:lang w:val="en-GB"/>
        </w:rPr>
        <w:t xml:space="preserve">Oral Mucosal Embryology and </w:t>
      </w:r>
      <w:proofErr w:type="spellStart"/>
      <w:r w:rsidRPr="00FA64D7">
        <w:rPr>
          <w:rFonts w:ascii="Times New Roman" w:hAnsi="Times New Roman"/>
          <w:lang w:val="en-GB"/>
        </w:rPr>
        <w:t>Hystology</w:t>
      </w:r>
      <w:proofErr w:type="spellEnd"/>
      <w:r w:rsidRPr="00FA64D7">
        <w:rPr>
          <w:rFonts w:ascii="Times New Roman" w:hAnsi="Times New Roman"/>
          <w:lang w:val="en-GB"/>
        </w:rPr>
        <w:t xml:space="preserve">  </w:t>
      </w:r>
    </w:p>
    <w:p w:rsidR="00FA64D7" w:rsidRPr="00FA64D7" w:rsidRDefault="00FA64D7" w:rsidP="00FA64D7">
      <w:pPr>
        <w:pStyle w:val="Rientrocorpodeltesto"/>
        <w:numPr>
          <w:ilvl w:val="0"/>
          <w:numId w:val="5"/>
        </w:numPr>
        <w:rPr>
          <w:rFonts w:ascii="Times New Roman" w:hAnsi="Times New Roman"/>
          <w:lang w:val="en-US"/>
        </w:rPr>
      </w:pPr>
      <w:r w:rsidRPr="00FA64D7">
        <w:rPr>
          <w:rFonts w:ascii="Times New Roman" w:hAnsi="Times New Roman"/>
          <w:lang w:val="en-GB"/>
        </w:rPr>
        <w:t xml:space="preserve">  Forensic dentistry</w:t>
      </w:r>
    </w:p>
    <w:p w:rsidR="00FA64D7" w:rsidRPr="00FA64D7" w:rsidRDefault="00FA64D7" w:rsidP="00FA64D7">
      <w:pPr>
        <w:pStyle w:val="Rientrocorpodeltesto"/>
        <w:numPr>
          <w:ilvl w:val="0"/>
          <w:numId w:val="5"/>
        </w:numPr>
        <w:rPr>
          <w:rFonts w:ascii="Times New Roman" w:hAnsi="Times New Roman"/>
          <w:lang w:val="en-US"/>
        </w:rPr>
      </w:pPr>
      <w:r w:rsidRPr="00FA64D7">
        <w:rPr>
          <w:rFonts w:ascii="Times New Roman" w:hAnsi="Times New Roman"/>
          <w:lang w:val="en-GB"/>
        </w:rPr>
        <w:t xml:space="preserve"> What is diabetes?</w:t>
      </w:r>
    </w:p>
    <w:p w:rsidR="00FA64D7" w:rsidRPr="00FA64D7" w:rsidRDefault="00FA64D7" w:rsidP="00FA64D7">
      <w:pPr>
        <w:pStyle w:val="Rientrocorpodeltesto"/>
        <w:ind w:left="1080"/>
        <w:rPr>
          <w:rFonts w:ascii="Times New Roman" w:hAnsi="Times New Roman"/>
          <w:lang w:val="en-US"/>
        </w:rPr>
      </w:pPr>
    </w:p>
    <w:p w:rsidR="00FA64D7" w:rsidRPr="00733289" w:rsidRDefault="00FA64D7" w:rsidP="00FA64D7">
      <w:pPr>
        <w:spacing w:after="120"/>
        <w:jc w:val="both"/>
        <w:rPr>
          <w:b/>
          <w:i/>
          <w:sz w:val="28"/>
        </w:rPr>
      </w:pPr>
      <w:r w:rsidRPr="00305920">
        <w:rPr>
          <w:b/>
          <w:i/>
          <w:sz w:val="28"/>
        </w:rPr>
        <w:t xml:space="preserve">Criteri di valutazione </w:t>
      </w:r>
      <w:proofErr w:type="gramStart"/>
      <w:r w:rsidRPr="00305920">
        <w:rPr>
          <w:b/>
          <w:i/>
          <w:sz w:val="28"/>
        </w:rPr>
        <w:t>dell’esame:</w:t>
      </w:r>
      <w:r w:rsidRPr="00062BAD">
        <w:rPr>
          <w:i/>
          <w:sz w:val="28"/>
          <w:u w:val="single"/>
        </w:rPr>
        <w:t>Prova</w:t>
      </w:r>
      <w:proofErr w:type="gramEnd"/>
      <w:r w:rsidRPr="00062BAD">
        <w:rPr>
          <w:i/>
          <w:sz w:val="28"/>
          <w:u w:val="single"/>
        </w:rPr>
        <w:t xml:space="preserve"> orale</w:t>
      </w:r>
    </w:p>
    <w:p w:rsidR="00FA64D7" w:rsidRPr="00FA64D7" w:rsidRDefault="00FA64D7" w:rsidP="00FA64D7">
      <w:pPr>
        <w:pStyle w:val="Rientrocorpodeltesto"/>
        <w:rPr>
          <w:rFonts w:ascii="Times New Roman" w:hAnsi="Times New Roman"/>
        </w:rPr>
      </w:pPr>
      <w:r w:rsidRPr="00305920">
        <w:rPr>
          <w:rFonts w:ascii="Times New Roman" w:hAnsi="Times New Roman"/>
        </w:rPr>
        <w:t>Esposizione dei contenuti scientifici relativi ai testi oggetto del programma. Conversazione su argomenti di carattere generale in cui il candidato mostri correttezza linguistica ed appropriatezza lessicale</w:t>
      </w:r>
    </w:p>
    <w:p w:rsidR="00FA64D7" w:rsidRPr="00FA64D7" w:rsidRDefault="00FA64D7" w:rsidP="00FA64D7">
      <w:pPr>
        <w:pStyle w:val="Rientrocorpodeltesto"/>
        <w:rPr>
          <w:rFonts w:ascii="Times New Roman" w:hAnsi="Times New Roman"/>
        </w:rPr>
      </w:pPr>
      <w:r w:rsidRPr="00FA64D7">
        <w:rPr>
          <w:rFonts w:ascii="Times New Roman" w:hAnsi="Times New Roman"/>
        </w:rPr>
        <w:t xml:space="preserve">                                         </w:t>
      </w:r>
    </w:p>
    <w:p w:rsidR="0098451B" w:rsidRPr="00FA64D7" w:rsidRDefault="0098451B" w:rsidP="0098451B">
      <w:pPr>
        <w:spacing w:after="120"/>
        <w:jc w:val="both"/>
      </w:pPr>
    </w:p>
    <w:p w:rsidR="0098451B" w:rsidRPr="00062BAD" w:rsidRDefault="0098451B" w:rsidP="0098451B">
      <w:pPr>
        <w:spacing w:before="120" w:after="120"/>
        <w:ind w:left="360"/>
        <w:jc w:val="both"/>
        <w:rPr>
          <w:b/>
          <w:sz w:val="28"/>
        </w:rPr>
      </w:pPr>
      <w:r w:rsidRPr="00FA64D7">
        <w:tab/>
      </w:r>
      <w:r w:rsidRPr="00FA64D7">
        <w:tab/>
      </w:r>
      <w:r w:rsidRPr="00FA64D7">
        <w:tab/>
      </w:r>
      <w:r w:rsidRPr="00FA64D7">
        <w:tab/>
      </w:r>
      <w:r w:rsidRPr="00FA64D7">
        <w:tab/>
      </w:r>
      <w:r w:rsidRPr="00FA64D7">
        <w:tab/>
      </w:r>
      <w:r>
        <w:rPr>
          <w:b/>
          <w:sz w:val="28"/>
        </w:rPr>
        <w:t>Prof.ssa Rosalba</w:t>
      </w:r>
      <w:r w:rsidRPr="00062BAD">
        <w:rPr>
          <w:b/>
          <w:sz w:val="28"/>
        </w:rPr>
        <w:t xml:space="preserve"> Alampi Gagliardi</w:t>
      </w:r>
    </w:p>
    <w:p w:rsidR="00292ACF" w:rsidRDefault="00292ACF"/>
    <w:sectPr w:rsidR="00292ACF" w:rsidSect="00292A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1EE7"/>
    <w:multiLevelType w:val="hybridMultilevel"/>
    <w:tmpl w:val="98965F0C"/>
    <w:lvl w:ilvl="0" w:tplc="DBF00916">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37A455C6"/>
    <w:multiLevelType w:val="hybridMultilevel"/>
    <w:tmpl w:val="8140FF20"/>
    <w:lvl w:ilvl="0" w:tplc="DBF00916">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4A6123A"/>
    <w:multiLevelType w:val="singleLevel"/>
    <w:tmpl w:val="04100001"/>
    <w:lvl w:ilvl="0">
      <w:start w:val="2"/>
      <w:numFmt w:val="bullet"/>
      <w:lvlText w:val=""/>
      <w:lvlJc w:val="left"/>
      <w:pPr>
        <w:tabs>
          <w:tab w:val="num" w:pos="360"/>
        </w:tabs>
        <w:ind w:left="360" w:hanging="360"/>
      </w:pPr>
      <w:rPr>
        <w:rFonts w:ascii="Symbol" w:hAnsi="Symbol" w:hint="default"/>
      </w:rPr>
    </w:lvl>
  </w:abstractNum>
  <w:abstractNum w:abstractNumId="3">
    <w:nsid w:val="70373F24"/>
    <w:multiLevelType w:val="singleLevel"/>
    <w:tmpl w:val="A0B6D074"/>
    <w:lvl w:ilvl="0">
      <w:start w:val="1"/>
      <w:numFmt w:val="bullet"/>
      <w:lvlText w:val=""/>
      <w:lvlJc w:val="left"/>
      <w:pPr>
        <w:tabs>
          <w:tab w:val="num" w:pos="360"/>
        </w:tabs>
        <w:ind w:left="340" w:hanging="340"/>
      </w:pPr>
      <w:rPr>
        <w:rFonts w:ascii="Symbol" w:hAnsi="Symbol" w:hint="default"/>
      </w:rPr>
    </w:lvl>
  </w:abstractNum>
  <w:abstractNum w:abstractNumId="4">
    <w:nsid w:val="72487B96"/>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1B"/>
    <w:rsid w:val="00044A0C"/>
    <w:rsid w:val="00212AE5"/>
    <w:rsid w:val="00292ACF"/>
    <w:rsid w:val="002C6521"/>
    <w:rsid w:val="00422DDD"/>
    <w:rsid w:val="004D7787"/>
    <w:rsid w:val="00931814"/>
    <w:rsid w:val="00955633"/>
    <w:rsid w:val="0098451B"/>
    <w:rsid w:val="009D709B"/>
    <w:rsid w:val="00A100B3"/>
    <w:rsid w:val="00A36F92"/>
    <w:rsid w:val="00B57452"/>
    <w:rsid w:val="00F91F18"/>
    <w:rsid w:val="00F9733B"/>
    <w:rsid w:val="00FA64D7"/>
    <w:rsid w:val="00FA7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3CE75C9-FEFC-41D5-B4BD-FC2AB0B8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451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8451B"/>
    <w:pPr>
      <w:keepNext/>
      <w:spacing w:after="120"/>
      <w:jc w:val="both"/>
      <w:outlineLvl w:val="0"/>
    </w:pPr>
    <w:rPr>
      <w:rFonts w:ascii="Verdana" w:hAnsi="Verdana"/>
      <w:b/>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8451B"/>
    <w:rPr>
      <w:rFonts w:ascii="Verdana" w:eastAsia="Times New Roman" w:hAnsi="Verdana" w:cs="Times New Roman"/>
      <w:b/>
      <w:i/>
      <w:sz w:val="28"/>
      <w:szCs w:val="20"/>
      <w:lang w:eastAsia="it-IT"/>
    </w:rPr>
  </w:style>
  <w:style w:type="paragraph" w:styleId="Corpotesto">
    <w:name w:val="Body Text"/>
    <w:basedOn w:val="Normale"/>
    <w:link w:val="CorpotestoCarattere"/>
    <w:rsid w:val="0098451B"/>
    <w:pPr>
      <w:spacing w:after="120"/>
      <w:jc w:val="both"/>
    </w:pPr>
    <w:rPr>
      <w:sz w:val="24"/>
    </w:rPr>
  </w:style>
  <w:style w:type="character" w:customStyle="1" w:styleId="CorpotestoCarattere">
    <w:name w:val="Corpo testo Carattere"/>
    <w:basedOn w:val="Carpredefinitoparagrafo"/>
    <w:link w:val="Corpotesto"/>
    <w:rsid w:val="0098451B"/>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98451B"/>
    <w:pPr>
      <w:spacing w:after="120"/>
      <w:jc w:val="both"/>
    </w:pPr>
    <w:rPr>
      <w:sz w:val="24"/>
    </w:rPr>
  </w:style>
  <w:style w:type="character" w:customStyle="1" w:styleId="Corpodeltesto3Carattere">
    <w:name w:val="Corpo del testo 3 Carattere"/>
    <w:basedOn w:val="Carpredefinitoparagrafo"/>
    <w:link w:val="Corpodeltesto3"/>
    <w:rsid w:val="0098451B"/>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8451B"/>
    <w:pPr>
      <w:spacing w:after="120"/>
      <w:ind w:left="360"/>
      <w:jc w:val="both"/>
    </w:pPr>
    <w:rPr>
      <w:rFonts w:ascii="Verdana" w:hAnsi="Verdana"/>
      <w:sz w:val="28"/>
    </w:rPr>
  </w:style>
  <w:style w:type="character" w:customStyle="1" w:styleId="RientrocorpodeltestoCarattere">
    <w:name w:val="Rientro corpo del testo Carattere"/>
    <w:basedOn w:val="Carpredefinitoparagrafo"/>
    <w:link w:val="Rientrocorpodeltesto"/>
    <w:rsid w:val="0098451B"/>
    <w:rPr>
      <w:rFonts w:ascii="Verdana" w:eastAsia="Times New Roman" w:hAnsi="Verdana"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2018-05-21T07:18:00Z</cp:lastPrinted>
  <dcterms:created xsi:type="dcterms:W3CDTF">2018-05-21T11:14:00Z</dcterms:created>
  <dcterms:modified xsi:type="dcterms:W3CDTF">2018-05-21T11:14:00Z</dcterms:modified>
</cp:coreProperties>
</file>