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974" w:rsidRDefault="00C94974" w:rsidP="002639CB">
      <w:pPr>
        <w:pStyle w:val="NormaleWeb"/>
        <w:ind w:left="2160" w:firstLine="720"/>
        <w:rPr>
          <w:b/>
          <w:bCs/>
        </w:rPr>
      </w:pPr>
    </w:p>
    <w:p w:rsidR="00886373" w:rsidRPr="00205EDC" w:rsidRDefault="00B47CDA" w:rsidP="002639CB">
      <w:pPr>
        <w:pStyle w:val="NormaleWeb"/>
        <w:ind w:left="2160" w:firstLine="720"/>
        <w:rPr>
          <w:b/>
          <w:bCs/>
        </w:rPr>
      </w:pPr>
      <w:r>
        <w:rPr>
          <w:b/>
          <w:bCs/>
        </w:rPr>
        <w:t>NOTA PER LA</w:t>
      </w:r>
      <w:r w:rsidR="00886373" w:rsidRPr="00205EDC">
        <w:rPr>
          <w:b/>
          <w:bCs/>
        </w:rPr>
        <w:t xml:space="preserve"> STAMPA</w:t>
      </w:r>
    </w:p>
    <w:p w:rsidR="00886373" w:rsidRPr="00886373" w:rsidRDefault="00886373" w:rsidP="007E5BED">
      <w:pPr>
        <w:pStyle w:val="NormaleWeb"/>
        <w:jc w:val="center"/>
        <w:rPr>
          <w:b/>
          <w:bCs/>
        </w:rPr>
      </w:pPr>
      <w:r w:rsidRPr="00886373">
        <w:rPr>
          <w:b/>
          <w:bCs/>
        </w:rPr>
        <w:t>16° International Workshop on Applied Economics of Education</w:t>
      </w:r>
      <w:r>
        <w:rPr>
          <w:b/>
          <w:bCs/>
        </w:rPr>
        <w:t xml:space="preserve"> (IWAEE 2026)</w:t>
      </w:r>
      <w:r w:rsidRPr="00886373">
        <w:rPr>
          <w:b/>
          <w:bCs/>
        </w:rPr>
        <w:br/>
        <w:t>Sedicesimo Convegno Internazionale in Economia dell’Istruzione</w:t>
      </w:r>
    </w:p>
    <w:p w:rsidR="00886373" w:rsidRPr="00C94974" w:rsidRDefault="00886373" w:rsidP="00886373">
      <w:pPr>
        <w:pStyle w:val="NormaleWeb"/>
        <w:rPr>
          <w:sz w:val="22"/>
          <w:szCs w:val="22"/>
        </w:rPr>
      </w:pPr>
      <w:r w:rsidRPr="00C94974">
        <w:rPr>
          <w:sz w:val="22"/>
          <w:szCs w:val="22"/>
        </w:rPr>
        <w:t>Dal 1</w:t>
      </w:r>
      <w:r w:rsidR="007204CF">
        <w:rPr>
          <w:sz w:val="22"/>
          <w:szCs w:val="22"/>
        </w:rPr>
        <w:t>4</w:t>
      </w:r>
      <w:r w:rsidRPr="00C94974">
        <w:rPr>
          <w:sz w:val="22"/>
          <w:szCs w:val="22"/>
        </w:rPr>
        <w:t xml:space="preserve"> al 1</w:t>
      </w:r>
      <w:r w:rsidR="008A32A1">
        <w:rPr>
          <w:sz w:val="22"/>
          <w:szCs w:val="22"/>
        </w:rPr>
        <w:t>6</w:t>
      </w:r>
      <w:r w:rsidRPr="00C94974">
        <w:rPr>
          <w:sz w:val="22"/>
          <w:szCs w:val="22"/>
        </w:rPr>
        <w:t xml:space="preserve"> giugno 2026 si terrà la sedicesima edizione dell’International Workshop on Applied Economics of Education, uno dei principali appuntamenti europei dedicati all’economia dell’istruzione. </w:t>
      </w:r>
    </w:p>
    <w:p w:rsidR="00886373" w:rsidRPr="00C94974" w:rsidRDefault="00886373" w:rsidP="00886373">
      <w:pPr>
        <w:pStyle w:val="NormaleWeb"/>
        <w:rPr>
          <w:sz w:val="22"/>
          <w:szCs w:val="22"/>
        </w:rPr>
      </w:pPr>
      <w:r w:rsidRPr="00C94974">
        <w:rPr>
          <w:sz w:val="22"/>
          <w:szCs w:val="22"/>
        </w:rPr>
        <w:t>L’evento è organizzato dal professor Giuseppe Migali dell’Università Magna Graecia di Catanzaro, in collaborazione con la Lancaster University e la Norwegian University of Science and Technology. Anche quest’anno la Calabria ospiterà studiosi provenienti da prestigiose università e istituzioni di ricerca internazionali, confermando il ruolo del territorio come sede di confronto scientifico su scuola, università, competenze e politiche educative. Il convegno si svolgerà presso il Park Hotel Mirabeau di Gasperina.</w:t>
      </w:r>
    </w:p>
    <w:p w:rsidR="00561D9D" w:rsidRDefault="00561D9D" w:rsidP="00FE0315">
      <w:pPr>
        <w:pStyle w:val="NormaleWeb"/>
        <w:rPr>
          <w:sz w:val="22"/>
          <w:szCs w:val="22"/>
        </w:rPr>
      </w:pPr>
      <w:r w:rsidRPr="00561D9D">
        <w:rPr>
          <w:sz w:val="22"/>
          <w:szCs w:val="22"/>
        </w:rPr>
        <w:t>Le sessioni scientifiche prenderanno avvio la mattina del 15 giugno e proseguiranno fino al pomeriggio del 16, con tre lezioni magistrali, cinque sessioni parallele e due sessioni poster, per circa 54 relatori complessivi.</w:t>
      </w:r>
    </w:p>
    <w:p w:rsidR="00FE0315" w:rsidRDefault="00FE0315" w:rsidP="00FE0315">
      <w:pPr>
        <w:pStyle w:val="NormaleWeb"/>
        <w:rPr>
          <w:sz w:val="22"/>
          <w:szCs w:val="22"/>
        </w:rPr>
      </w:pPr>
      <w:r w:rsidRPr="00FE0315">
        <w:rPr>
          <w:sz w:val="22"/>
          <w:szCs w:val="22"/>
        </w:rPr>
        <w:t>I keynote speakers dell’edizione 2026 saranno Hannah Schildberg-Hörisch del Düsseldorf Institute for Competition Economics, con uno studio sugli effetti dell’apprendimento socio-emotivo sulle competenze e sui risultati scolastici degli studenti; Mari Rege dell’University of Stavanger, che discuterà l’impatto della pedagogia basata sul gioco nella scuola dell’infanzia; ed Esteban Aucejo dell’Arizona State University, che analizzerà il ruolo delle informazioni e delle difficoltà decisionali nelle abitudini di studio e nella performance accademica.</w:t>
      </w:r>
    </w:p>
    <w:p w:rsidR="00886373" w:rsidRPr="00C94974" w:rsidRDefault="00886373" w:rsidP="00FE0315">
      <w:pPr>
        <w:pStyle w:val="NormaleWeb"/>
        <w:rPr>
          <w:sz w:val="22"/>
          <w:szCs w:val="22"/>
        </w:rPr>
      </w:pPr>
      <w:r w:rsidRPr="00C94974">
        <w:rPr>
          <w:sz w:val="22"/>
          <w:szCs w:val="22"/>
        </w:rPr>
        <w:t>I contributi selezionati, scelti tra circa 130 articoli originali inviati da studiosi di tutto il mondo, affrontano alcune delle questioni più rilevanti per il futuro dei sistemi educativi: come migliorare la qualità dell’insegnamento, ridurre i divari di genere e sociali, sostenere le famiglie nei primi anni di vita dei bambini, orientare meglio le scelte scolastiche e universitarie, e rafforzare il legame tra istruzione, competenze e mercato del lavoro.</w:t>
      </w:r>
    </w:p>
    <w:p w:rsidR="00C94974" w:rsidRPr="00C94974" w:rsidRDefault="00886373" w:rsidP="00886373">
      <w:pPr>
        <w:pStyle w:val="NormaleWeb"/>
        <w:rPr>
          <w:sz w:val="22"/>
          <w:szCs w:val="22"/>
        </w:rPr>
      </w:pPr>
      <w:r w:rsidRPr="00C94974">
        <w:rPr>
          <w:sz w:val="22"/>
          <w:szCs w:val="22"/>
        </w:rPr>
        <w:t>Il programma offre evidenze scientifiche su temi di forte interesse anche per il dibattito italiano: il ruolo delle mense scolastiche e dei servizi per l’infanzia nei risultati educativi, l’impatto delle tecnologie digitali sull’apprendimento, le disuguaglianze nell’accesso all’università e alle carriere più qualificate, gli effetti dei pari e dell’ambiente scolastico, l’integrazione degli studenti immigrati e le politiche per contrastare povertà educativa e dispersione.</w:t>
      </w:r>
    </w:p>
    <w:p w:rsidR="008A32A1" w:rsidRDefault="008A32A1" w:rsidP="00886373">
      <w:pPr>
        <w:pStyle w:val="NormaleWeb"/>
        <w:rPr>
          <w:sz w:val="22"/>
          <w:szCs w:val="22"/>
        </w:rPr>
      </w:pPr>
      <w:r w:rsidRPr="008A32A1">
        <w:rPr>
          <w:sz w:val="22"/>
          <w:szCs w:val="22"/>
        </w:rPr>
        <w:t>Il convegno intende quindi contribuire non solo al confronto accademico internazionale, ma anche alla discussione pubblica su come le politiche educative possano produrre effetti concreti sulle opportunità dei giovani, sulla mobilità sociale e sulla capacità dei territori di attrarre competenze, ricerca e innovazione. In questa prospettiva, anche quest’anno il programma valorizzerà il territorio calabrese, con una visita culturale guidata alla Grangia di Sant’Anna e al paese di Montauro, e con momenti conviviali pensati per far conoscere ai partecipanti internazionali la cucina mediterranea e calabrese in luoghi suggestivi della costa ionica.</w:t>
      </w:r>
    </w:p>
    <w:p w:rsidR="0005400E" w:rsidRDefault="007E5BED" w:rsidP="00561D9D">
      <w:pPr>
        <w:pStyle w:val="NormaleWeb"/>
      </w:pPr>
      <w:r w:rsidRPr="007E5BED">
        <w:rPr>
          <w:sz w:val="22"/>
          <w:szCs w:val="22"/>
        </w:rPr>
        <w:t xml:space="preserve">I dettagli sono disponibili sul programma. Per ulteriori informazioni, visitare il sito </w:t>
      </w:r>
      <w:hyperlink r:id="rId6" w:history="1">
        <w:r w:rsidRPr="006555ED">
          <w:rPr>
            <w:rStyle w:val="Collegamentoipertestuale"/>
            <w:sz w:val="22"/>
            <w:szCs w:val="22"/>
          </w:rPr>
          <w:t>www.iwaee.org</w:t>
        </w:r>
      </w:hyperlink>
    </w:p>
    <w:sectPr w:rsidR="0005400E" w:rsidSect="00A21CF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9E8" w:rsidRDefault="003069E8" w:rsidP="002639CB">
      <w:r>
        <w:separator/>
      </w:r>
    </w:p>
  </w:endnote>
  <w:endnote w:type="continuationSeparator" w:id="1">
    <w:p w:rsidR="003069E8" w:rsidRDefault="003069E8" w:rsidP="002639CB">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974" w:rsidRPr="00C94974" w:rsidRDefault="00C94974" w:rsidP="00C94974">
    <w:pPr>
      <w:pStyle w:val="Pidipagina"/>
      <w:jc w:val="center"/>
      <w:rPr>
        <w:sz w:val="18"/>
        <w:szCs w:val="18"/>
      </w:rPr>
    </w:pPr>
    <w:r w:rsidRPr="00C94974">
      <w:rPr>
        <w:sz w:val="18"/>
        <w:szCs w:val="18"/>
      </w:rPr>
      <w:t>Campus Universitario – Edificio dell’Area Giuridica, Economica e delle Scienze Sociali</w:t>
    </w:r>
  </w:p>
  <w:p w:rsidR="00C94974" w:rsidRPr="00C94974" w:rsidRDefault="00C94974" w:rsidP="00C94974">
    <w:pPr>
      <w:pStyle w:val="Pidipagina"/>
      <w:jc w:val="center"/>
      <w:rPr>
        <w:sz w:val="18"/>
        <w:szCs w:val="18"/>
      </w:rPr>
    </w:pPr>
    <w:r w:rsidRPr="00C94974">
      <w:rPr>
        <w:sz w:val="18"/>
        <w:szCs w:val="18"/>
      </w:rPr>
      <w:t>Viale Europa in Germaneto – 88100 CATANZARO</w:t>
    </w:r>
  </w:p>
  <w:p w:rsidR="00C94974" w:rsidRDefault="00C94974" w:rsidP="00C94974">
    <w:pPr>
      <w:pStyle w:val="Pidipagina"/>
      <w:jc w:val="center"/>
      <w:rPr>
        <w:sz w:val="18"/>
        <w:szCs w:val="18"/>
      </w:rPr>
    </w:pPr>
    <w:r w:rsidRPr="00C94974">
      <w:rPr>
        <w:sz w:val="18"/>
        <w:szCs w:val="18"/>
      </w:rPr>
      <w:t xml:space="preserve">Contatto: Prof. Giuseppe Migali: 3476516040, </w:t>
    </w:r>
    <w:hyperlink r:id="rId1" w:history="1">
      <w:r w:rsidRPr="006555ED">
        <w:rPr>
          <w:rStyle w:val="Collegamentoipertestuale"/>
          <w:sz w:val="18"/>
          <w:szCs w:val="18"/>
        </w:rPr>
        <w:t>g.migali@unicz.it</w:t>
      </w:r>
    </w:hyperlink>
  </w:p>
  <w:p w:rsidR="00C94974" w:rsidRPr="00C94974" w:rsidRDefault="00C94974" w:rsidP="00C94974">
    <w:pPr>
      <w:pStyle w:val="Pidipagina"/>
      <w:jc w:val="center"/>
      <w:rPr>
        <w:sz w:val="18"/>
        <w:szCs w:val="18"/>
      </w:rPr>
    </w:pPr>
    <w:r>
      <w:rPr>
        <w:sz w:val="18"/>
        <w:szCs w:val="18"/>
      </w:rPr>
      <w:t xml:space="preserve">Whatsapp </w:t>
    </w:r>
    <w:r w:rsidR="007E5BED">
      <w:rPr>
        <w:sz w:val="18"/>
        <w:szCs w:val="18"/>
      </w:rPr>
      <w:t>+44(0)7986830057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9E8" w:rsidRDefault="003069E8" w:rsidP="002639CB">
      <w:r>
        <w:separator/>
      </w:r>
    </w:p>
  </w:footnote>
  <w:footnote w:type="continuationSeparator" w:id="1">
    <w:p w:rsidR="003069E8" w:rsidRDefault="003069E8" w:rsidP="00263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CB" w:rsidRDefault="002639CB" w:rsidP="002639CB">
    <w:pPr>
      <w:pStyle w:val="Intestazione"/>
      <w:tabs>
        <w:tab w:val="clear" w:pos="4513"/>
        <w:tab w:val="clear" w:pos="9026"/>
        <w:tab w:val="left" w:pos="1763"/>
      </w:tabs>
      <w:rPr>
        <w:rFonts w:ascii="Tahoma" w:hAnsi="Tahoma"/>
        <w:sz w:val="18"/>
        <w:szCs w:val="18"/>
      </w:rPr>
    </w:pPr>
    <w:r>
      <w:tab/>
    </w:r>
    <w:r>
      <w:tab/>
    </w:r>
    <w:r>
      <w:rPr>
        <w:rFonts w:ascii="Tahoma" w:hAnsi="Tahoma"/>
        <w:noProof/>
        <w:sz w:val="18"/>
        <w:szCs w:val="18"/>
        <w:lang w:eastAsia="it-IT"/>
      </w:rPr>
      <w:drawing>
        <wp:inline distT="0" distB="0" distL="0" distR="0">
          <wp:extent cx="569344" cy="569344"/>
          <wp:effectExtent l="0" t="0" r="0" b="0"/>
          <wp:docPr id="1073741825" name="officeArt object" descr="logo1_unicz_24bit.bmp"/>
          <wp:cNvGraphicFramePr/>
          <a:graphic xmlns:a="http://schemas.openxmlformats.org/drawingml/2006/main">
            <a:graphicData uri="http://schemas.openxmlformats.org/drawingml/2006/picture">
              <pic:pic xmlns:pic="http://schemas.openxmlformats.org/drawingml/2006/picture">
                <pic:nvPicPr>
                  <pic:cNvPr id="1073741825" name="logo1_unicz_24bit.bmp" descr="logo1_unicz_24bit.bmp"/>
                  <pic:cNvPicPr>
                    <a:picLocks noChangeAspect="1"/>
                  </pic:cNvPicPr>
                </pic:nvPicPr>
                <pic:blipFill>
                  <a:blip r:embed="rId1"/>
                  <a:stretch>
                    <a:fillRect/>
                  </a:stretch>
                </pic:blipFill>
                <pic:spPr>
                  <a:xfrm>
                    <a:off x="0" y="0"/>
                    <a:ext cx="569344" cy="569344"/>
                  </a:xfrm>
                  <a:prstGeom prst="rect">
                    <a:avLst/>
                  </a:prstGeom>
                  <a:ln w="12700" cap="flat">
                    <a:noFill/>
                    <a:miter lim="400000"/>
                  </a:ln>
                  <a:effectLst/>
                </pic:spPr>
              </pic:pic>
            </a:graphicData>
          </a:graphic>
        </wp:inline>
      </w:drawing>
    </w:r>
    <w:r w:rsidR="00865E0C" w:rsidRPr="00865E0C">
      <w:rPr>
        <w:rFonts w:ascii="Tahoma" w:eastAsia="Tahoma" w:hAnsi="Tahoma" w:cs="Tahoma"/>
        <w:noProof/>
        <w:sz w:val="18"/>
        <w:szCs w:val="18"/>
      </w:rPr>
    </w:r>
    <w:r w:rsidR="00865E0C" w:rsidRPr="00865E0C">
      <w:rPr>
        <w:rFonts w:ascii="Tahoma" w:eastAsia="Tahoma" w:hAnsi="Tahoma" w:cs="Tahoma"/>
        <w:noProof/>
        <w:sz w:val="18"/>
        <w:szCs w:val="18"/>
      </w:rPr>
      <w:pict>
        <v:shapetype id="_x0000_t202" coordsize="21600,21600" o:spt="202" path="m,l,21600r21600,l21600,xe">
          <v:stroke joinstyle="miter"/>
          <v:path gradientshapeok="t" o:connecttype="rect"/>
        </v:shapetype>
        <v:shape id="officeArt object" o:spid="_x0000_s1025" type="#_x0000_t202" alt="TextBox 5" style="width:144.5pt;height:38.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" filled="f" stroked="f" strokeweight="1pt">
          <v:stroke miterlimit="4"/>
          <v:textbox inset="3.6pt,,3.6pt">
            <w:txbxContent>
              <w:p w:rsidR="002639CB" w:rsidRDefault="002639CB" w:rsidP="002639CB">
                <w:pPr>
                  <w:pStyle w:val="NormaleWeb"/>
                  <w:tabs>
                    <w:tab w:val="left" w:pos="708"/>
                    <w:tab w:val="left" w:pos="1416"/>
                  </w:tabs>
                  <w:spacing w:before="0" w:after="0" w:line="276" w:lineRule="auto"/>
                  <w:jc w:val="center"/>
                  <w:rPr>
                    <w:lang w:val="en-US"/>
                  </w:rPr>
                </w:pPr>
                <w:r>
                  <w:rPr>
                    <w:rFonts w:ascii="Arial" w:hAnsi="Arial"/>
                    <w:b/>
                    <w:bCs/>
                    <w:caps/>
                    <w:color w:val="6C0000"/>
                    <w:spacing w:val="60"/>
                    <w:kern w:val="24"/>
                    <w:u w:color="6C0000"/>
                    <w:lang w:val="en-US"/>
                  </w:rPr>
                  <w:t xml:space="preserve">Catanzaro </w:t>
                </w:r>
                <w:r>
                  <w:rPr>
                    <w:rFonts w:ascii="Arial" w:hAnsi="Arial"/>
                    <w:b/>
                    <w:bCs/>
                    <w:caps/>
                    <w:color w:val="6C0000"/>
                    <w:kern w:val="24"/>
                    <w:u w:color="6C0000"/>
                    <w:lang w:val="en-US"/>
                  </w:rPr>
                  <w:t>“</w:t>
                </w:r>
                <w:r>
                  <w:rPr>
                    <w:rFonts w:ascii="Arial" w:hAnsi="Arial"/>
                    <w:b/>
                    <w:bCs/>
                    <w:color w:val="6C0000"/>
                    <w:kern w:val="24"/>
                    <w:u w:color="6C0000"/>
                    <w:lang w:val="en-US"/>
                  </w:rPr>
                  <w:t>Magna Graecia</w:t>
                </w:r>
                <w:r>
                  <w:rPr>
                    <w:rFonts w:ascii="Arial" w:hAnsi="Arial"/>
                    <w:b/>
                    <w:bCs/>
                    <w:caps/>
                    <w:color w:val="6C0000"/>
                    <w:kern w:val="24"/>
                    <w:u w:color="6C0000"/>
                    <w:lang w:val="en-US"/>
                  </w:rPr>
                  <w:t>”</w:t>
                </w:r>
              </w:p>
              <w:p w:rsidR="002639CB" w:rsidRDefault="002639CB" w:rsidP="002639CB">
                <w:pPr>
                  <w:pStyle w:val="NormaleWeb"/>
                  <w:tabs>
                    <w:tab w:val="left" w:pos="708"/>
                    <w:tab w:val="left" w:pos="1416"/>
                  </w:tabs>
                  <w:spacing w:before="0" w:after="0" w:line="276" w:lineRule="auto"/>
                  <w:jc w:val="center"/>
                </w:pPr>
                <w:r>
                  <w:rPr>
                    <w:rFonts w:ascii="Arial" w:hAnsi="Arial"/>
                    <w:b/>
                    <w:bCs/>
                    <w:color w:val="6C0000"/>
                    <w:spacing w:val="60"/>
                    <w:kern w:val="24"/>
                    <w:u w:color="6C0000"/>
                    <w:lang w:val="en-US"/>
                  </w:rPr>
                  <w:t>University</w:t>
                </w:r>
              </w:p>
            </w:txbxContent>
          </v:textbox>
          <w10:wrap type="none"/>
          <w10:anchorlock/>
        </v:shape>
      </w:pict>
    </w:r>
  </w:p>
  <w:p w:rsidR="002639CB" w:rsidRDefault="002639CB" w:rsidP="002639CB">
    <w:pPr>
      <w:pStyle w:val="Intestazione"/>
      <w:tabs>
        <w:tab w:val="clear" w:pos="4513"/>
        <w:tab w:val="clear" w:pos="9026"/>
        <w:tab w:val="left" w:pos="1763"/>
      </w:tabs>
    </w:pPr>
    <w:r>
      <w:rPr>
        <w:rStyle w:val="EmphasisA"/>
      </w:rPr>
      <w:tab/>
      <w:t>Dipartimento di Giurisprudenza, Economia e Sociologia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1"/>
  <w:defaultTabStop w:val="720"/>
  <w:hyphenationZone w:val="283"/>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886373"/>
    <w:rsid w:val="0005400E"/>
    <w:rsid w:val="00061420"/>
    <w:rsid w:val="00083BC9"/>
    <w:rsid w:val="0011218B"/>
    <w:rsid w:val="00205EDC"/>
    <w:rsid w:val="002639CB"/>
    <w:rsid w:val="002F583A"/>
    <w:rsid w:val="003069E8"/>
    <w:rsid w:val="004C7831"/>
    <w:rsid w:val="00561D9D"/>
    <w:rsid w:val="007204CF"/>
    <w:rsid w:val="007C4816"/>
    <w:rsid w:val="007E5BED"/>
    <w:rsid w:val="00865E0C"/>
    <w:rsid w:val="00872D84"/>
    <w:rsid w:val="00886373"/>
    <w:rsid w:val="008A32A1"/>
    <w:rsid w:val="008C106B"/>
    <w:rsid w:val="0093295A"/>
    <w:rsid w:val="00941DB0"/>
    <w:rsid w:val="00A21CF5"/>
    <w:rsid w:val="00A3513D"/>
    <w:rsid w:val="00A50F34"/>
    <w:rsid w:val="00B47CDA"/>
    <w:rsid w:val="00C94974"/>
    <w:rsid w:val="00CB3F92"/>
    <w:rsid w:val="00FB1D91"/>
    <w:rsid w:val="00FE03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1CF5"/>
  </w:style>
  <w:style w:type="paragraph" w:styleId="Titolo1">
    <w:name w:val="heading 1"/>
    <w:basedOn w:val="Normale"/>
    <w:next w:val="Normale"/>
    <w:link w:val="Titolo1Carattere"/>
    <w:uiPriority w:val="9"/>
    <w:qFormat/>
    <w:rsid w:val="00886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6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6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6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6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637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637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637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637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6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6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6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6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6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6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6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6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6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637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6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637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6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637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6373"/>
    <w:rPr>
      <w:i/>
      <w:iCs/>
      <w:color w:val="404040" w:themeColor="text1" w:themeTint="BF"/>
    </w:rPr>
  </w:style>
  <w:style w:type="paragraph" w:styleId="Paragrafoelenco">
    <w:name w:val="List Paragraph"/>
    <w:basedOn w:val="Normale"/>
    <w:uiPriority w:val="34"/>
    <w:qFormat/>
    <w:rsid w:val="00886373"/>
    <w:pPr>
      <w:ind w:left="720"/>
      <w:contextualSpacing/>
    </w:pPr>
  </w:style>
  <w:style w:type="character" w:styleId="Enfasiintensa">
    <w:name w:val="Intense Emphasis"/>
    <w:basedOn w:val="Carpredefinitoparagrafo"/>
    <w:uiPriority w:val="21"/>
    <w:qFormat/>
    <w:rsid w:val="00886373"/>
    <w:rPr>
      <w:i/>
      <w:iCs/>
      <w:color w:val="0F4761" w:themeColor="accent1" w:themeShade="BF"/>
    </w:rPr>
  </w:style>
  <w:style w:type="paragraph" w:styleId="Citazioneintensa">
    <w:name w:val="Intense Quote"/>
    <w:basedOn w:val="Normale"/>
    <w:next w:val="Normale"/>
    <w:link w:val="CitazioneintensaCarattere"/>
    <w:uiPriority w:val="30"/>
    <w:qFormat/>
    <w:rsid w:val="00886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6373"/>
    <w:rPr>
      <w:i/>
      <w:iCs/>
      <w:color w:val="0F4761" w:themeColor="accent1" w:themeShade="BF"/>
    </w:rPr>
  </w:style>
  <w:style w:type="character" w:styleId="Riferimentointenso">
    <w:name w:val="Intense Reference"/>
    <w:basedOn w:val="Carpredefinitoparagrafo"/>
    <w:uiPriority w:val="32"/>
    <w:qFormat/>
    <w:rsid w:val="00886373"/>
    <w:rPr>
      <w:b/>
      <w:bCs/>
      <w:smallCaps/>
      <w:color w:val="0F4761" w:themeColor="accent1" w:themeShade="BF"/>
      <w:spacing w:val="5"/>
    </w:rPr>
  </w:style>
  <w:style w:type="paragraph" w:styleId="NormaleWeb">
    <w:name w:val="Normal (Web)"/>
    <w:basedOn w:val="Normale"/>
    <w:uiPriority w:val="99"/>
    <w:unhideWhenUsed/>
    <w:rsid w:val="00886373"/>
    <w:pPr>
      <w:spacing w:before="100" w:beforeAutospacing="1" w:after="100" w:afterAutospacing="1"/>
    </w:pPr>
    <w:rPr>
      <w:rFonts w:ascii="Times New Roman" w:eastAsia="Times New Roman" w:hAnsi="Times New Roman" w:cs="Times New Roman"/>
      <w:kern w:val="0"/>
      <w:lang w:eastAsia="en-GB"/>
    </w:rPr>
  </w:style>
  <w:style w:type="character" w:styleId="Collegamentoipertestuale">
    <w:name w:val="Hyperlink"/>
    <w:basedOn w:val="Carpredefinitoparagrafo"/>
    <w:uiPriority w:val="99"/>
    <w:unhideWhenUsed/>
    <w:rsid w:val="00886373"/>
    <w:rPr>
      <w:color w:val="0000FF"/>
      <w:u w:val="single"/>
    </w:rPr>
  </w:style>
  <w:style w:type="paragraph" w:styleId="Intestazione">
    <w:name w:val="header"/>
    <w:basedOn w:val="Normale"/>
    <w:link w:val="IntestazioneCarattere"/>
    <w:uiPriority w:val="99"/>
    <w:unhideWhenUsed/>
    <w:rsid w:val="002639CB"/>
    <w:pPr>
      <w:tabs>
        <w:tab w:val="center" w:pos="4513"/>
        <w:tab w:val="right" w:pos="9026"/>
      </w:tabs>
    </w:pPr>
  </w:style>
  <w:style w:type="character" w:customStyle="1" w:styleId="IntestazioneCarattere">
    <w:name w:val="Intestazione Carattere"/>
    <w:basedOn w:val="Carpredefinitoparagrafo"/>
    <w:link w:val="Intestazione"/>
    <w:uiPriority w:val="99"/>
    <w:rsid w:val="002639CB"/>
  </w:style>
  <w:style w:type="paragraph" w:styleId="Pidipagina">
    <w:name w:val="footer"/>
    <w:basedOn w:val="Normale"/>
    <w:link w:val="PidipaginaCarattere"/>
    <w:uiPriority w:val="99"/>
    <w:unhideWhenUsed/>
    <w:rsid w:val="002639CB"/>
    <w:pPr>
      <w:tabs>
        <w:tab w:val="center" w:pos="4513"/>
        <w:tab w:val="right" w:pos="9026"/>
      </w:tabs>
    </w:pPr>
  </w:style>
  <w:style w:type="character" w:customStyle="1" w:styleId="PidipaginaCarattere">
    <w:name w:val="Piè di pagina Carattere"/>
    <w:basedOn w:val="Carpredefinitoparagrafo"/>
    <w:link w:val="Pidipagina"/>
    <w:uiPriority w:val="99"/>
    <w:rsid w:val="002639CB"/>
  </w:style>
  <w:style w:type="character" w:customStyle="1" w:styleId="EmphasisA">
    <w:name w:val="Emphasis A"/>
    <w:rsid w:val="002639CB"/>
    <w:rPr>
      <w:rFonts w:ascii="Times New Roman" w:hAnsi="Times New Roman"/>
      <w:i/>
      <w:iCs/>
      <w:lang w:val="it-IT"/>
    </w:rPr>
  </w:style>
  <w:style w:type="character" w:customStyle="1" w:styleId="UnresolvedMention">
    <w:name w:val="Unresolved Mention"/>
    <w:basedOn w:val="Carpredefinitoparagrafo"/>
    <w:uiPriority w:val="99"/>
    <w:semiHidden/>
    <w:unhideWhenUsed/>
    <w:rsid w:val="00C94974"/>
    <w:rPr>
      <w:color w:val="605E5C"/>
      <w:shd w:val="clear" w:color="auto" w:fill="E1DFDD"/>
    </w:rPr>
  </w:style>
  <w:style w:type="paragraph" w:styleId="Testofumetto">
    <w:name w:val="Balloon Text"/>
    <w:basedOn w:val="Normale"/>
    <w:link w:val="TestofumettoCarattere"/>
    <w:uiPriority w:val="99"/>
    <w:semiHidden/>
    <w:unhideWhenUsed/>
    <w:rsid w:val="007C48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4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wae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migali@unic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Migali, Giuseppe</dc:creator>
  <cp:lastModifiedBy>Madrigrano</cp:lastModifiedBy>
  <cp:revision>4</cp:revision>
  <dcterms:created xsi:type="dcterms:W3CDTF">2026-06-15T11:22:00Z</dcterms:created>
  <dcterms:modified xsi:type="dcterms:W3CDTF">2026-06-15T11:34:00Z</dcterms:modified>
</cp:coreProperties>
</file>